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45"/>
        <w:gridCol w:w="1620"/>
        <w:gridCol w:w="4895"/>
        <w:gridCol w:w="7165"/>
      </w:tblGrid>
      <w:tr w:rsidR="00A264EB" w14:paraId="105423A2" w14:textId="77777777" w:rsidTr="150AE968">
        <w:trPr>
          <w:trHeight w:val="258"/>
          <w:tblHeader/>
        </w:trPr>
        <w:tc>
          <w:tcPr>
            <w:tcW w:w="445" w:type="dxa"/>
            <w:shd w:val="clear" w:color="auto" w:fill="DBE5F1" w:themeFill="accent1" w:themeFillTint="33"/>
          </w:tcPr>
          <w:p w14:paraId="23CD23CF" w14:textId="4A4A392B" w:rsidR="00A264EB" w:rsidRPr="00504E5E" w:rsidRDefault="00A264EB">
            <w:pPr>
              <w:rPr>
                <w:b/>
              </w:rPr>
            </w:pPr>
            <w:bookmarkStart w:id="0" w:name="_Hlk514067815"/>
          </w:p>
        </w:tc>
        <w:tc>
          <w:tcPr>
            <w:tcW w:w="1620" w:type="dxa"/>
            <w:shd w:val="clear" w:color="auto" w:fill="DBE5F1" w:themeFill="accent1" w:themeFillTint="33"/>
          </w:tcPr>
          <w:p w14:paraId="0FE38C73" w14:textId="3294CBAF" w:rsidR="00A264EB" w:rsidRPr="00504E5E" w:rsidRDefault="00A264EB" w:rsidP="004F4735">
            <w:pPr>
              <w:rPr>
                <w:b/>
              </w:rPr>
            </w:pPr>
            <w:r>
              <w:rPr>
                <w:b/>
              </w:rPr>
              <w:t>Program A</w:t>
            </w:r>
            <w:r w:rsidRPr="00504E5E">
              <w:rPr>
                <w:b/>
              </w:rPr>
              <w:t>rea</w:t>
            </w:r>
          </w:p>
        </w:tc>
        <w:tc>
          <w:tcPr>
            <w:tcW w:w="4895" w:type="dxa"/>
            <w:shd w:val="clear" w:color="auto" w:fill="DBE5F1" w:themeFill="accent1" w:themeFillTint="33"/>
          </w:tcPr>
          <w:p w14:paraId="558BCAB8" w14:textId="77777777" w:rsidR="00A264EB" w:rsidRPr="00504E5E" w:rsidRDefault="00A264EB">
            <w:pPr>
              <w:rPr>
                <w:b/>
              </w:rPr>
            </w:pPr>
            <w:r w:rsidRPr="00504E5E">
              <w:rPr>
                <w:b/>
              </w:rPr>
              <w:t>Question</w:t>
            </w:r>
          </w:p>
        </w:tc>
        <w:tc>
          <w:tcPr>
            <w:tcW w:w="7165" w:type="dxa"/>
            <w:shd w:val="clear" w:color="auto" w:fill="DBE5F1" w:themeFill="accent1" w:themeFillTint="33"/>
          </w:tcPr>
          <w:p w14:paraId="6EECDFD7" w14:textId="530D8F95" w:rsidR="00A264EB" w:rsidRPr="00504E5E" w:rsidRDefault="00A264EB">
            <w:pPr>
              <w:rPr>
                <w:b/>
              </w:rPr>
            </w:pPr>
            <w:r>
              <w:rPr>
                <w:b/>
              </w:rPr>
              <w:t>Answer</w:t>
            </w:r>
          </w:p>
        </w:tc>
      </w:tr>
      <w:tr w:rsidR="00A264EB" w:rsidRPr="00F63073" w14:paraId="5311150F" w14:textId="77777777" w:rsidTr="150AE968">
        <w:trPr>
          <w:trHeight w:val="270"/>
        </w:trPr>
        <w:tc>
          <w:tcPr>
            <w:tcW w:w="445" w:type="dxa"/>
          </w:tcPr>
          <w:p w14:paraId="06E7C051" w14:textId="0CEF79CA" w:rsidR="00A264EB" w:rsidRPr="00F146CB" w:rsidRDefault="00A264EB" w:rsidP="00A264EB">
            <w:r w:rsidRPr="00F146CB">
              <w:rPr>
                <w:rFonts w:ascii="Calibri" w:hAnsi="Calibri"/>
                <w:color w:val="000000"/>
              </w:rPr>
              <w:t>1</w:t>
            </w:r>
          </w:p>
        </w:tc>
        <w:tc>
          <w:tcPr>
            <w:tcW w:w="1620" w:type="dxa"/>
          </w:tcPr>
          <w:p w14:paraId="03C99B54" w14:textId="3A9AA397" w:rsidR="00A264EB" w:rsidRPr="00F146CB" w:rsidRDefault="00D6385B" w:rsidP="00A264EB">
            <w:r>
              <w:t>RFP</w:t>
            </w:r>
          </w:p>
        </w:tc>
        <w:tc>
          <w:tcPr>
            <w:tcW w:w="4895" w:type="dxa"/>
          </w:tcPr>
          <w:p w14:paraId="2717FACC" w14:textId="5EFFDC76" w:rsidR="00A264EB" w:rsidRPr="00D6385B" w:rsidRDefault="00D6385B" w:rsidP="00A264EB">
            <w:pPr>
              <w:rPr>
                <w:color w:val="1F497D"/>
              </w:rPr>
            </w:pPr>
            <w:r w:rsidRPr="00D6385B">
              <w:t>Is this the RFP to replace SYVPI, or is there a different one coming later?</w:t>
            </w:r>
          </w:p>
        </w:tc>
        <w:tc>
          <w:tcPr>
            <w:tcW w:w="7165" w:type="dxa"/>
          </w:tcPr>
          <w:p w14:paraId="6CB96935" w14:textId="1B0746FA" w:rsidR="00D6385B" w:rsidRDefault="00D6385B" w:rsidP="00D6385B">
            <w:r>
              <w:t>No, the YFE Opportunity Fund is a separate fund</w:t>
            </w:r>
            <w:r w:rsidR="00555BC5">
              <w:t>ing process</w:t>
            </w:r>
            <w:r>
              <w:t xml:space="preserve">. </w:t>
            </w:r>
            <w:r w:rsidR="00555BC5">
              <w:t xml:space="preserve">The previously announced funding process related to SYVPI investments </w:t>
            </w:r>
            <w:r w:rsidR="000945B3">
              <w:t>is</w:t>
            </w:r>
            <w:r w:rsidR="00555BC5">
              <w:t xml:space="preserve"> postponed until early 2019. </w:t>
            </w:r>
          </w:p>
          <w:p w14:paraId="5DFD2213" w14:textId="0CAECA38" w:rsidR="00A264EB" w:rsidRPr="00F146CB" w:rsidRDefault="00A264EB" w:rsidP="00A264EB">
            <w:pPr>
              <w:tabs>
                <w:tab w:val="left" w:pos="360"/>
                <w:tab w:val="left" w:pos="540"/>
                <w:tab w:val="left" w:pos="630"/>
              </w:tabs>
            </w:pPr>
          </w:p>
        </w:tc>
      </w:tr>
      <w:tr w:rsidR="00A264EB" w:rsidRPr="00F63073" w14:paraId="4613B554" w14:textId="77777777" w:rsidTr="150AE968">
        <w:trPr>
          <w:trHeight w:val="270"/>
        </w:trPr>
        <w:tc>
          <w:tcPr>
            <w:tcW w:w="445" w:type="dxa"/>
          </w:tcPr>
          <w:p w14:paraId="5161B857" w14:textId="192DDD7B" w:rsidR="00A264EB" w:rsidRPr="00F146CB" w:rsidRDefault="00A264EB" w:rsidP="00A264EB">
            <w:r w:rsidRPr="00F146CB">
              <w:rPr>
                <w:rFonts w:ascii="Calibri" w:hAnsi="Calibri"/>
                <w:color w:val="000000"/>
              </w:rPr>
              <w:t>2</w:t>
            </w:r>
          </w:p>
        </w:tc>
        <w:tc>
          <w:tcPr>
            <w:tcW w:w="1620" w:type="dxa"/>
          </w:tcPr>
          <w:p w14:paraId="2CE9BDEB" w14:textId="2FED5480" w:rsidR="00A264EB" w:rsidRPr="00F146CB" w:rsidRDefault="00175349" w:rsidP="00A264EB">
            <w:r>
              <w:t>Organization Eligibility</w:t>
            </w:r>
          </w:p>
        </w:tc>
        <w:tc>
          <w:tcPr>
            <w:tcW w:w="4895" w:type="dxa"/>
          </w:tcPr>
          <w:p w14:paraId="73DD89C5" w14:textId="7ECE99BC" w:rsidR="00A264EB" w:rsidRPr="00F146CB" w:rsidRDefault="00175349" w:rsidP="00A264EB">
            <w:r>
              <w:t>W</w:t>
            </w:r>
            <w:r w:rsidR="002F3320">
              <w:t xml:space="preserve">e receive funding from the </w:t>
            </w:r>
            <w:r>
              <w:t>C</w:t>
            </w:r>
            <w:r w:rsidR="002F3320">
              <w:t>ity</w:t>
            </w:r>
            <w:r>
              <w:t>.  We also have an annual budget that exceeds the $750K threshold. </w:t>
            </w:r>
            <w:r w:rsidR="002F3320">
              <w:t xml:space="preserve">Would that disqualify us from applying for the Opportunity Fund? </w:t>
            </w:r>
          </w:p>
        </w:tc>
        <w:tc>
          <w:tcPr>
            <w:tcW w:w="7165" w:type="dxa"/>
          </w:tcPr>
          <w:p w14:paraId="621BB69B" w14:textId="04BCAE7E" w:rsidR="00175349" w:rsidRDefault="00175349" w:rsidP="00175349">
            <w:pPr>
              <w:pStyle w:val="Default"/>
              <w:jc w:val="both"/>
              <w:rPr>
                <w:rFonts w:asciiTheme="minorHAnsi" w:hAnsiTheme="minorHAnsi"/>
                <w:bCs/>
                <w:sz w:val="22"/>
                <w:szCs w:val="22"/>
              </w:rPr>
            </w:pPr>
            <w:r w:rsidRPr="00B51829">
              <w:rPr>
                <w:rFonts w:asciiTheme="minorHAnsi" w:hAnsiTheme="minorHAnsi"/>
                <w:bCs/>
                <w:sz w:val="22"/>
                <w:szCs w:val="22"/>
              </w:rPr>
              <w:t>Yes. Please see Section III</w:t>
            </w:r>
            <w:r w:rsidR="004E15F0">
              <w:rPr>
                <w:rFonts w:asciiTheme="minorHAnsi" w:hAnsiTheme="minorHAnsi"/>
                <w:bCs/>
                <w:sz w:val="22"/>
                <w:szCs w:val="22"/>
              </w:rPr>
              <w:t>,</w:t>
            </w:r>
            <w:r w:rsidRPr="00B51829">
              <w:rPr>
                <w:rFonts w:asciiTheme="minorHAnsi" w:hAnsiTheme="minorHAnsi"/>
                <w:bCs/>
                <w:sz w:val="22"/>
                <w:szCs w:val="22"/>
              </w:rPr>
              <w:t xml:space="preserve"> Eligibility Requirements, “</w:t>
            </w:r>
            <w:r>
              <w:rPr>
                <w:rFonts w:asciiTheme="minorHAnsi" w:hAnsiTheme="minorHAnsi"/>
                <w:bCs/>
                <w:sz w:val="22"/>
                <w:szCs w:val="22"/>
              </w:rPr>
              <w:t>O</w:t>
            </w:r>
            <w:r w:rsidRPr="00A3171A">
              <w:rPr>
                <w:rFonts w:asciiTheme="minorHAnsi" w:hAnsiTheme="minorHAnsi"/>
                <w:bCs/>
                <w:sz w:val="22"/>
                <w:szCs w:val="22"/>
              </w:rPr>
              <w:t xml:space="preserve">rganizations </w:t>
            </w:r>
            <w:r>
              <w:rPr>
                <w:rFonts w:asciiTheme="minorHAnsi" w:hAnsiTheme="minorHAnsi"/>
                <w:bCs/>
                <w:sz w:val="22"/>
                <w:szCs w:val="22"/>
              </w:rPr>
              <w:t>that</w:t>
            </w:r>
            <w:r w:rsidRPr="00A3171A">
              <w:rPr>
                <w:rFonts w:asciiTheme="minorHAnsi" w:hAnsiTheme="minorHAnsi"/>
                <w:bCs/>
                <w:sz w:val="22"/>
                <w:szCs w:val="22"/>
              </w:rPr>
              <w:t xml:space="preserve"> have an operating budget of $750,000 or less </w:t>
            </w:r>
            <w:r>
              <w:rPr>
                <w:rFonts w:asciiTheme="minorHAnsi" w:hAnsiTheme="minorHAnsi"/>
                <w:bCs/>
                <w:sz w:val="22"/>
                <w:szCs w:val="22"/>
              </w:rPr>
              <w:t>or</w:t>
            </w:r>
            <w:r w:rsidRPr="00A3171A">
              <w:rPr>
                <w:rFonts w:asciiTheme="minorHAnsi" w:hAnsiTheme="minorHAnsi"/>
                <w:bCs/>
                <w:sz w:val="22"/>
                <w:szCs w:val="22"/>
              </w:rPr>
              <w:t xml:space="preserve"> have not been funded by HSD in the past. </w:t>
            </w:r>
            <w:r>
              <w:rPr>
                <w:rFonts w:asciiTheme="minorHAnsi" w:hAnsiTheme="minorHAnsi"/>
                <w:bCs/>
                <w:sz w:val="22"/>
                <w:szCs w:val="22"/>
              </w:rPr>
              <w:t>Preference is given to organizations that have an operating budget of $750,000 or less.”</w:t>
            </w:r>
          </w:p>
          <w:p w14:paraId="5E056A42" w14:textId="3DC1FB46" w:rsidR="00175349" w:rsidRDefault="00175349" w:rsidP="00175349"/>
          <w:p w14:paraId="078CF806" w14:textId="59AA6346" w:rsidR="00A264EB" w:rsidRPr="00F146CB" w:rsidRDefault="00175349" w:rsidP="00A264EB">
            <w:r>
              <w:t xml:space="preserve"> </w:t>
            </w:r>
          </w:p>
        </w:tc>
      </w:tr>
      <w:tr w:rsidR="00A264EB" w14:paraId="54A26028" w14:textId="77777777" w:rsidTr="150AE968">
        <w:trPr>
          <w:trHeight w:val="270"/>
        </w:trPr>
        <w:tc>
          <w:tcPr>
            <w:tcW w:w="445" w:type="dxa"/>
          </w:tcPr>
          <w:p w14:paraId="7D20255D" w14:textId="143EA4F2" w:rsidR="00A264EB" w:rsidRPr="00F146CB" w:rsidRDefault="00FE2EA2" w:rsidP="00A264EB">
            <w:r>
              <w:t>3</w:t>
            </w:r>
          </w:p>
        </w:tc>
        <w:tc>
          <w:tcPr>
            <w:tcW w:w="1620" w:type="dxa"/>
          </w:tcPr>
          <w:p w14:paraId="5546566C" w14:textId="3548D516" w:rsidR="00A264EB" w:rsidRPr="00F146CB" w:rsidRDefault="002770AA" w:rsidP="00A264EB">
            <w:r>
              <w:t>Organization Eligibility</w:t>
            </w:r>
          </w:p>
        </w:tc>
        <w:tc>
          <w:tcPr>
            <w:tcW w:w="4895" w:type="dxa"/>
          </w:tcPr>
          <w:p w14:paraId="50B1E9AD" w14:textId="00631D2D" w:rsidR="00A264EB" w:rsidRPr="00F146CB" w:rsidRDefault="002770AA" w:rsidP="00A264EB">
            <w:r>
              <w:t>If my agency has an operating budget over $750</w:t>
            </w:r>
            <w:r w:rsidR="001C3327">
              <w:t>,000</w:t>
            </w:r>
            <w:r>
              <w:t xml:space="preserve">, are we disqualified from </w:t>
            </w:r>
            <w:r w:rsidR="001E6FA8">
              <w:t>funding?</w:t>
            </w:r>
          </w:p>
        </w:tc>
        <w:tc>
          <w:tcPr>
            <w:tcW w:w="7165" w:type="dxa"/>
          </w:tcPr>
          <w:p w14:paraId="45F149A0" w14:textId="23A12A0A" w:rsidR="00A264EB" w:rsidRPr="00F146CB" w:rsidRDefault="007F3A23" w:rsidP="00A264EB">
            <w:r>
              <w:t>No. See answer to question #2.</w:t>
            </w:r>
            <w:r w:rsidR="001E6FA8">
              <w:t xml:space="preserve"> </w:t>
            </w:r>
          </w:p>
        </w:tc>
      </w:tr>
      <w:tr w:rsidR="00FE2EA2" w14:paraId="6FCC8607" w14:textId="77777777" w:rsidTr="150AE968">
        <w:trPr>
          <w:trHeight w:val="270"/>
        </w:trPr>
        <w:tc>
          <w:tcPr>
            <w:tcW w:w="445" w:type="dxa"/>
          </w:tcPr>
          <w:p w14:paraId="4D4DCC76" w14:textId="460603D7" w:rsidR="00FE2EA2" w:rsidRPr="00F146CB" w:rsidRDefault="001E6FA8" w:rsidP="00A264EB">
            <w:r>
              <w:t>4</w:t>
            </w:r>
          </w:p>
        </w:tc>
        <w:tc>
          <w:tcPr>
            <w:tcW w:w="1620" w:type="dxa"/>
          </w:tcPr>
          <w:p w14:paraId="3CA996FF" w14:textId="7CFEE2C0" w:rsidR="00FE2EA2" w:rsidRPr="00F146CB" w:rsidRDefault="00BA59A6" w:rsidP="25E0E651">
            <w:r>
              <w:t>Application</w:t>
            </w:r>
          </w:p>
        </w:tc>
        <w:tc>
          <w:tcPr>
            <w:tcW w:w="4895" w:type="dxa"/>
          </w:tcPr>
          <w:p w14:paraId="51127D17" w14:textId="3777A181" w:rsidR="00FE2EA2" w:rsidRPr="00F146CB" w:rsidRDefault="001E6FA8" w:rsidP="25E0E651">
            <w:r>
              <w:t>If we submit the application early,</w:t>
            </w:r>
            <w:r w:rsidR="00E968BC">
              <w:t xml:space="preserve"> are we expected to check </w:t>
            </w:r>
            <w:r w:rsidR="001C3327">
              <w:t>that it is complete</w:t>
            </w:r>
            <w:r w:rsidR="00E968BC">
              <w:t xml:space="preserve"> or</w:t>
            </w:r>
            <w:r>
              <w:t xml:space="preserve"> will HSD review </w:t>
            </w:r>
            <w:r w:rsidR="00043746">
              <w:t>that it’s</w:t>
            </w:r>
            <w:r>
              <w:t xml:space="preserve"> completed before the due date? </w:t>
            </w:r>
          </w:p>
        </w:tc>
        <w:tc>
          <w:tcPr>
            <w:tcW w:w="7165" w:type="dxa"/>
          </w:tcPr>
          <w:p w14:paraId="4D55CDFF" w14:textId="78D6752E" w:rsidR="00FE2EA2" w:rsidRPr="00F146CB" w:rsidRDefault="001C3327" w:rsidP="25E0E651">
            <w:r>
              <w:t>HSD will not check if your application is completed until after the June 1</w:t>
            </w:r>
            <w:r w:rsidRPr="0042255D">
              <w:rPr>
                <w:vertAlign w:val="superscript"/>
              </w:rPr>
              <w:t>st</w:t>
            </w:r>
            <w:r>
              <w:rPr>
                <w:vertAlign w:val="superscript"/>
              </w:rPr>
              <w:t xml:space="preserve">, </w:t>
            </w:r>
            <w:r>
              <w:t xml:space="preserve">12:00 p.m. deadline. </w:t>
            </w:r>
            <w:r w:rsidR="00E968BC">
              <w:t xml:space="preserve">The Agency is expected to make sure the application is complete before submitting it. </w:t>
            </w:r>
          </w:p>
        </w:tc>
      </w:tr>
      <w:tr w:rsidR="00A264EB" w14:paraId="0F5DC767" w14:textId="77777777" w:rsidTr="150AE968">
        <w:trPr>
          <w:trHeight w:val="270"/>
        </w:trPr>
        <w:tc>
          <w:tcPr>
            <w:tcW w:w="445" w:type="dxa"/>
          </w:tcPr>
          <w:p w14:paraId="744FC0FC" w14:textId="3A9BE496" w:rsidR="00A264EB" w:rsidRDefault="00E968BC" w:rsidP="00A264EB">
            <w:r>
              <w:t>5</w:t>
            </w:r>
          </w:p>
        </w:tc>
        <w:tc>
          <w:tcPr>
            <w:tcW w:w="1620" w:type="dxa"/>
          </w:tcPr>
          <w:p w14:paraId="32AB7750" w14:textId="27F6361D" w:rsidR="00A264EB" w:rsidRDefault="00BA59A6" w:rsidP="00A264EB">
            <w:r>
              <w:t>Application</w:t>
            </w:r>
          </w:p>
        </w:tc>
        <w:tc>
          <w:tcPr>
            <w:tcW w:w="4895" w:type="dxa"/>
          </w:tcPr>
          <w:p w14:paraId="495DF4A5" w14:textId="7D7524C8" w:rsidR="00A264EB" w:rsidRPr="00021EC1" w:rsidRDefault="00E968BC" w:rsidP="00A264EB">
            <w:r>
              <w:t>If we hand deliver the application, will there be someone to give it to?</w:t>
            </w:r>
          </w:p>
        </w:tc>
        <w:tc>
          <w:tcPr>
            <w:tcW w:w="7165" w:type="dxa"/>
          </w:tcPr>
          <w:p w14:paraId="347F3695" w14:textId="58CB2FB2" w:rsidR="00A264EB" w:rsidRDefault="001C3327" w:rsidP="00A264EB">
            <w:r>
              <w:t xml:space="preserve">Yes. </w:t>
            </w:r>
            <w:r w:rsidR="00E968BC">
              <w:t>There is a reception desk on the 58</w:t>
            </w:r>
            <w:r w:rsidR="00E968BC" w:rsidRPr="0042255D">
              <w:rPr>
                <w:vertAlign w:val="superscript"/>
              </w:rPr>
              <w:t>th</w:t>
            </w:r>
            <w:r w:rsidR="00E968BC">
              <w:t xml:space="preserve"> floor</w:t>
            </w:r>
            <w:r w:rsidR="00BA59A6">
              <w:t xml:space="preserve"> of the Seattle Municipal Tower</w:t>
            </w:r>
            <w:r w:rsidR="007576B6">
              <w:t>. S</w:t>
            </w:r>
            <w:r w:rsidR="00BA59A6">
              <w:t xml:space="preserve">omeone will take your application and give you a date/time stamp receipt.  Please do not leave an application without receiving the receipt. </w:t>
            </w:r>
          </w:p>
        </w:tc>
      </w:tr>
      <w:tr w:rsidR="00A264EB" w14:paraId="259BAA0B" w14:textId="77777777" w:rsidTr="150AE968">
        <w:trPr>
          <w:trHeight w:val="270"/>
        </w:trPr>
        <w:tc>
          <w:tcPr>
            <w:tcW w:w="445" w:type="dxa"/>
          </w:tcPr>
          <w:p w14:paraId="1BB762A8" w14:textId="71EF677F" w:rsidR="00A264EB" w:rsidRDefault="00520506" w:rsidP="00A264EB">
            <w:r>
              <w:t>6</w:t>
            </w:r>
          </w:p>
        </w:tc>
        <w:tc>
          <w:tcPr>
            <w:tcW w:w="1620" w:type="dxa"/>
          </w:tcPr>
          <w:p w14:paraId="65508F43" w14:textId="367A3364" w:rsidR="00A264EB" w:rsidRDefault="00BA59A6" w:rsidP="00A264EB">
            <w:r>
              <w:t>Budget</w:t>
            </w:r>
          </w:p>
        </w:tc>
        <w:tc>
          <w:tcPr>
            <w:tcW w:w="4895" w:type="dxa"/>
          </w:tcPr>
          <w:p w14:paraId="0FA54AA9" w14:textId="61FBDD48" w:rsidR="00A264EB" w:rsidRDefault="003141D9" w:rsidP="00A264EB">
            <w:r>
              <w:t xml:space="preserve">What does “leveraging” mean in the Rating Criteria? </w:t>
            </w:r>
          </w:p>
        </w:tc>
        <w:tc>
          <w:tcPr>
            <w:tcW w:w="7165" w:type="dxa"/>
          </w:tcPr>
          <w:p w14:paraId="532DF84E" w14:textId="4E0C0944" w:rsidR="00A264EB" w:rsidRDefault="008F2A11" w:rsidP="00A264EB">
            <w:r>
              <w:t>Please s</w:t>
            </w:r>
            <w:r w:rsidR="00D952E4">
              <w:t xml:space="preserve">ee </w:t>
            </w:r>
            <w:r>
              <w:t>Section VI</w:t>
            </w:r>
            <w:r w:rsidR="001A4827">
              <w:t xml:space="preserve">, Question D. </w:t>
            </w:r>
            <w:r w:rsidR="00D952E4">
              <w:t>Leveraging</w:t>
            </w:r>
            <w:r w:rsidR="00BA0562">
              <w:t xml:space="preserve"> </w:t>
            </w:r>
            <w:r w:rsidR="00D952E4">
              <w:t>refers to</w:t>
            </w:r>
            <w:r w:rsidR="00BA0562">
              <w:t xml:space="preserve"> other funds and/or in-kind resources used for the project. </w:t>
            </w:r>
          </w:p>
        </w:tc>
      </w:tr>
      <w:tr w:rsidR="00A264EB" w14:paraId="64AE3EDB" w14:textId="77777777" w:rsidTr="150AE968">
        <w:trPr>
          <w:trHeight w:val="270"/>
        </w:trPr>
        <w:tc>
          <w:tcPr>
            <w:tcW w:w="445" w:type="dxa"/>
          </w:tcPr>
          <w:p w14:paraId="5FD73C70" w14:textId="08625CB7" w:rsidR="00A264EB" w:rsidRDefault="00520506" w:rsidP="00A264EB">
            <w:r>
              <w:t>7</w:t>
            </w:r>
          </w:p>
        </w:tc>
        <w:tc>
          <w:tcPr>
            <w:tcW w:w="1620" w:type="dxa"/>
          </w:tcPr>
          <w:p w14:paraId="5F3689B9" w14:textId="663F08B3" w:rsidR="00A264EB" w:rsidRDefault="00BA59A6" w:rsidP="00A264EB">
            <w:r>
              <w:t>Info Session</w:t>
            </w:r>
          </w:p>
        </w:tc>
        <w:tc>
          <w:tcPr>
            <w:tcW w:w="4895" w:type="dxa"/>
          </w:tcPr>
          <w:p w14:paraId="3EBC262E" w14:textId="567EB631" w:rsidR="00A264EB" w:rsidRPr="00780361" w:rsidRDefault="00F24CC6" w:rsidP="00A264EB">
            <w:r>
              <w:t>Will the Information Session</w:t>
            </w:r>
            <w:r w:rsidR="00043746">
              <w:t xml:space="preserve"> PowerPoint</w:t>
            </w:r>
            <w:r>
              <w:t xml:space="preserve"> presentation be on the website?</w:t>
            </w:r>
          </w:p>
        </w:tc>
        <w:tc>
          <w:tcPr>
            <w:tcW w:w="7165" w:type="dxa"/>
          </w:tcPr>
          <w:p w14:paraId="531195D7" w14:textId="74086700" w:rsidR="00A264EB" w:rsidRDefault="00F24CC6" w:rsidP="00A264EB">
            <w:r>
              <w:t xml:space="preserve">Yes. </w:t>
            </w:r>
          </w:p>
        </w:tc>
      </w:tr>
      <w:tr w:rsidR="00A264EB" w14:paraId="4BD7FA70" w14:textId="77777777" w:rsidTr="150AE968">
        <w:trPr>
          <w:trHeight w:val="270"/>
        </w:trPr>
        <w:tc>
          <w:tcPr>
            <w:tcW w:w="445" w:type="dxa"/>
          </w:tcPr>
          <w:p w14:paraId="0BAE4B07" w14:textId="408B8969" w:rsidR="00A264EB" w:rsidRDefault="00520506" w:rsidP="00A264EB">
            <w:r>
              <w:t>8</w:t>
            </w:r>
          </w:p>
        </w:tc>
        <w:tc>
          <w:tcPr>
            <w:tcW w:w="1620" w:type="dxa"/>
          </w:tcPr>
          <w:p w14:paraId="3880FB7F" w14:textId="53BDBD77" w:rsidR="00A264EB" w:rsidRDefault="00BA59A6" w:rsidP="00A264EB">
            <w:r>
              <w:t>Application</w:t>
            </w:r>
          </w:p>
        </w:tc>
        <w:tc>
          <w:tcPr>
            <w:tcW w:w="4895" w:type="dxa"/>
          </w:tcPr>
          <w:p w14:paraId="0E3107F1" w14:textId="599827CD" w:rsidR="00A264EB" w:rsidRDefault="00F24CC6" w:rsidP="00A264EB">
            <w:r>
              <w:t>What does “positive connections” refer to when one is working with youth?</w:t>
            </w:r>
          </w:p>
        </w:tc>
        <w:tc>
          <w:tcPr>
            <w:tcW w:w="7165" w:type="dxa"/>
          </w:tcPr>
          <w:p w14:paraId="0A0A652C" w14:textId="565A64B7" w:rsidR="00A264EB" w:rsidRDefault="00363E46" w:rsidP="00A264EB">
            <w:r>
              <w:t>Please see</w:t>
            </w:r>
            <w:r w:rsidR="0005381A">
              <w:t xml:space="preserve"> </w:t>
            </w:r>
            <w:r w:rsidR="0006116A">
              <w:t>S</w:t>
            </w:r>
            <w:r>
              <w:t>ection I</w:t>
            </w:r>
            <w:r w:rsidR="004E15F0">
              <w:t>,</w:t>
            </w:r>
            <w:r>
              <w:t xml:space="preserve"> Introduction, “E</w:t>
            </w:r>
            <w:r w:rsidR="00F24CC6">
              <w:t xml:space="preserve">lements of a </w:t>
            </w:r>
            <w:r>
              <w:t>S</w:t>
            </w:r>
            <w:r w:rsidR="00F24CC6">
              <w:t xml:space="preserve">uccessful </w:t>
            </w:r>
            <w:r>
              <w:t>P</w:t>
            </w:r>
            <w:r w:rsidR="00F24CC6">
              <w:t>roject</w:t>
            </w:r>
            <w:r w:rsidR="00452D2C">
              <w:t>.</w:t>
            </w:r>
            <w:r w:rsidR="0005381A">
              <w:t xml:space="preserve">” This is a broad, general term to cover any positive connections the youth and/or young adults </w:t>
            </w:r>
            <w:r w:rsidR="00043746">
              <w:t xml:space="preserve">will gain from </w:t>
            </w:r>
            <w:r w:rsidR="007A5CC4">
              <w:t>your</w:t>
            </w:r>
            <w:r w:rsidR="00043746">
              <w:t xml:space="preserve"> project </w:t>
            </w:r>
            <w:r w:rsidR="0005381A">
              <w:t>with community, staff</w:t>
            </w:r>
            <w:r w:rsidR="007F3A23">
              <w:t>,</w:t>
            </w:r>
            <w:r w:rsidR="0005381A">
              <w:t xml:space="preserve"> or volunteers.</w:t>
            </w:r>
          </w:p>
        </w:tc>
      </w:tr>
      <w:tr w:rsidR="00A264EB" w14:paraId="47284B99" w14:textId="77777777" w:rsidTr="150AE968">
        <w:trPr>
          <w:trHeight w:val="270"/>
        </w:trPr>
        <w:tc>
          <w:tcPr>
            <w:tcW w:w="445" w:type="dxa"/>
          </w:tcPr>
          <w:p w14:paraId="37AF7008" w14:textId="44234C13" w:rsidR="00A264EB" w:rsidRDefault="00520506" w:rsidP="00A264EB">
            <w:r>
              <w:t>9</w:t>
            </w:r>
          </w:p>
        </w:tc>
        <w:tc>
          <w:tcPr>
            <w:tcW w:w="1620" w:type="dxa"/>
          </w:tcPr>
          <w:p w14:paraId="6069B879" w14:textId="6A319A8F" w:rsidR="00A264EB" w:rsidRDefault="00BA59A6" w:rsidP="00A264EB">
            <w:r>
              <w:t>General</w:t>
            </w:r>
          </w:p>
        </w:tc>
        <w:tc>
          <w:tcPr>
            <w:tcW w:w="4895" w:type="dxa"/>
          </w:tcPr>
          <w:p w14:paraId="19062E13" w14:textId="11DB7226" w:rsidR="00A264EB" w:rsidRDefault="00250807" w:rsidP="00A264EB">
            <w:r>
              <w:t>How many years has HSD been providing this funding?</w:t>
            </w:r>
          </w:p>
        </w:tc>
        <w:tc>
          <w:tcPr>
            <w:tcW w:w="7165" w:type="dxa"/>
          </w:tcPr>
          <w:p w14:paraId="1D2247C6" w14:textId="461D1382" w:rsidR="00A264EB" w:rsidRDefault="00452D2C" w:rsidP="00A264EB">
            <w:r>
              <w:t>HSD has provided this funding for three</w:t>
            </w:r>
            <w:r w:rsidR="005E359D">
              <w:t>-</w:t>
            </w:r>
            <w:r>
              <w:t xml:space="preserve">years </w:t>
            </w:r>
            <w:r w:rsidR="005E359D">
              <w:t>and</w:t>
            </w:r>
            <w:r>
              <w:t xml:space="preserve"> the amount and name </w:t>
            </w:r>
            <w:r w:rsidR="005E359D">
              <w:t>has varied.  The RFP was previously called Summer Opportunity Fund and Youth Opportunity Fund.</w:t>
            </w:r>
            <w:r w:rsidR="00250807">
              <w:t xml:space="preserve"> </w:t>
            </w:r>
          </w:p>
        </w:tc>
      </w:tr>
      <w:tr w:rsidR="00A264EB" w14:paraId="262430D4" w14:textId="77777777" w:rsidTr="150AE968">
        <w:trPr>
          <w:trHeight w:val="270"/>
        </w:trPr>
        <w:tc>
          <w:tcPr>
            <w:tcW w:w="445" w:type="dxa"/>
          </w:tcPr>
          <w:p w14:paraId="6FE91029" w14:textId="050AB87F" w:rsidR="00A264EB" w:rsidRDefault="00520506" w:rsidP="00A264EB">
            <w:r>
              <w:lastRenderedPageBreak/>
              <w:t>10</w:t>
            </w:r>
          </w:p>
        </w:tc>
        <w:tc>
          <w:tcPr>
            <w:tcW w:w="1620" w:type="dxa"/>
          </w:tcPr>
          <w:p w14:paraId="5B1DDE18" w14:textId="64D695D2" w:rsidR="00A264EB" w:rsidRDefault="007F3A23" w:rsidP="00A264EB">
            <w:r>
              <w:t>Online</w:t>
            </w:r>
            <w:r w:rsidR="00BA59A6">
              <w:t xml:space="preserve"> </w:t>
            </w:r>
            <w:r w:rsidR="00AE4D92">
              <w:t>Submission System</w:t>
            </w:r>
          </w:p>
        </w:tc>
        <w:tc>
          <w:tcPr>
            <w:tcW w:w="4895" w:type="dxa"/>
          </w:tcPr>
          <w:p w14:paraId="1A837612" w14:textId="4E931147" w:rsidR="00A264EB" w:rsidRDefault="00520506" w:rsidP="00A264EB">
            <w:r>
              <w:t xml:space="preserve">Is Susan McCallister the person who </w:t>
            </w:r>
            <w:r w:rsidR="007A5CC4">
              <w:t>can</w:t>
            </w:r>
            <w:r>
              <w:t xml:space="preserve"> </w:t>
            </w:r>
            <w:proofErr w:type="gramStart"/>
            <w:r>
              <w:t>provide assistance</w:t>
            </w:r>
            <w:proofErr w:type="gramEnd"/>
            <w:r>
              <w:t xml:space="preserve"> with on-line tech issues, if needed?</w:t>
            </w:r>
          </w:p>
        </w:tc>
        <w:tc>
          <w:tcPr>
            <w:tcW w:w="7165" w:type="dxa"/>
          </w:tcPr>
          <w:p w14:paraId="40555ED7" w14:textId="173E9539" w:rsidR="00A264EB" w:rsidRDefault="00520506" w:rsidP="00A264EB">
            <w:r>
              <w:t>Yes</w:t>
            </w:r>
            <w:r w:rsidR="007F3A23">
              <w:t>, specifically related to the HSD online application system</w:t>
            </w:r>
          </w:p>
        </w:tc>
      </w:tr>
      <w:tr w:rsidR="00A264EB" w14:paraId="0ED7D035" w14:textId="77777777" w:rsidTr="150AE968">
        <w:trPr>
          <w:trHeight w:val="270"/>
        </w:trPr>
        <w:tc>
          <w:tcPr>
            <w:tcW w:w="445" w:type="dxa"/>
          </w:tcPr>
          <w:p w14:paraId="5571FCDF" w14:textId="2B7B1869" w:rsidR="00A264EB" w:rsidRDefault="00520506" w:rsidP="00A264EB">
            <w:r>
              <w:t>11</w:t>
            </w:r>
          </w:p>
        </w:tc>
        <w:tc>
          <w:tcPr>
            <w:tcW w:w="1620" w:type="dxa"/>
          </w:tcPr>
          <w:p w14:paraId="10FED846" w14:textId="23289CD5" w:rsidR="00A264EB" w:rsidRDefault="00AE4D92" w:rsidP="00A264EB">
            <w:r>
              <w:t>Contract Period</w:t>
            </w:r>
          </w:p>
        </w:tc>
        <w:tc>
          <w:tcPr>
            <w:tcW w:w="4895" w:type="dxa"/>
          </w:tcPr>
          <w:p w14:paraId="07F86D38" w14:textId="2423F3C5" w:rsidR="00A264EB" w:rsidRDefault="00520506" w:rsidP="00A264EB">
            <w:r>
              <w:t>Does the project have to start on August 1</w:t>
            </w:r>
            <w:r w:rsidRPr="0042255D">
              <w:rPr>
                <w:vertAlign w:val="superscript"/>
              </w:rPr>
              <w:t>st</w:t>
            </w:r>
            <w:r>
              <w:t xml:space="preserve">? </w:t>
            </w:r>
          </w:p>
        </w:tc>
        <w:tc>
          <w:tcPr>
            <w:tcW w:w="7165" w:type="dxa"/>
          </w:tcPr>
          <w:p w14:paraId="6082A3EE" w14:textId="6259D946" w:rsidR="00A264EB" w:rsidRDefault="00520506" w:rsidP="00A264EB">
            <w:r>
              <w:t xml:space="preserve">No. </w:t>
            </w:r>
            <w:r w:rsidR="00314F35">
              <w:t xml:space="preserve">Your </w:t>
            </w:r>
            <w:r w:rsidR="002F6C07">
              <w:t xml:space="preserve">project start date will </w:t>
            </w:r>
            <w:r>
              <w:t xml:space="preserve">depend on your specific project timeline and how much time it takes to develop and sign the contract before the project may begin. </w:t>
            </w:r>
          </w:p>
        </w:tc>
      </w:tr>
      <w:tr w:rsidR="00A264EB" w14:paraId="35B14DDC" w14:textId="77777777" w:rsidTr="150AE968">
        <w:trPr>
          <w:trHeight w:val="270"/>
        </w:trPr>
        <w:tc>
          <w:tcPr>
            <w:tcW w:w="445" w:type="dxa"/>
          </w:tcPr>
          <w:p w14:paraId="085B4691" w14:textId="0D83AF29" w:rsidR="00A264EB" w:rsidRDefault="00520506" w:rsidP="00A264EB">
            <w:r>
              <w:t>12</w:t>
            </w:r>
          </w:p>
        </w:tc>
        <w:tc>
          <w:tcPr>
            <w:tcW w:w="1620" w:type="dxa"/>
          </w:tcPr>
          <w:p w14:paraId="30AEDCD4" w14:textId="36EC6B37" w:rsidR="00A264EB" w:rsidRDefault="00AE4D92" w:rsidP="00A264EB">
            <w:r>
              <w:t>Online Submission System</w:t>
            </w:r>
          </w:p>
        </w:tc>
        <w:tc>
          <w:tcPr>
            <w:tcW w:w="4895" w:type="dxa"/>
          </w:tcPr>
          <w:p w14:paraId="0C3AEB84" w14:textId="27BF5BD9" w:rsidR="00A264EB" w:rsidRDefault="001C3327" w:rsidP="00A264EB">
            <w:r>
              <w:t>Is it possible to submit the application on-line?</w:t>
            </w:r>
          </w:p>
        </w:tc>
        <w:tc>
          <w:tcPr>
            <w:tcW w:w="7165" w:type="dxa"/>
          </w:tcPr>
          <w:p w14:paraId="4B69D230" w14:textId="56EF6FD1" w:rsidR="00A264EB" w:rsidRDefault="001C3327" w:rsidP="00A264EB">
            <w:r>
              <w:t xml:space="preserve">Yes. </w:t>
            </w:r>
            <w:r w:rsidR="00D40616">
              <w:t>The</w:t>
            </w:r>
            <w:r>
              <w:t xml:space="preserve"> link to submit the application electronically on the City’s website</w:t>
            </w:r>
            <w:r w:rsidR="00D40616">
              <w:t xml:space="preserve"> can be found in Section IV</w:t>
            </w:r>
            <w:r w:rsidR="004E15F0">
              <w:t>,</w:t>
            </w:r>
            <w:r w:rsidR="00D40616">
              <w:t xml:space="preserve"> Selection Process. </w:t>
            </w:r>
          </w:p>
        </w:tc>
      </w:tr>
      <w:tr w:rsidR="00A264EB" w14:paraId="037EE496" w14:textId="77777777" w:rsidTr="150AE968">
        <w:trPr>
          <w:trHeight w:val="270"/>
        </w:trPr>
        <w:tc>
          <w:tcPr>
            <w:tcW w:w="445" w:type="dxa"/>
          </w:tcPr>
          <w:p w14:paraId="6E04C344" w14:textId="1137C813" w:rsidR="00A264EB" w:rsidRDefault="007A5CC4" w:rsidP="00A264EB">
            <w:r>
              <w:t>13</w:t>
            </w:r>
          </w:p>
        </w:tc>
        <w:tc>
          <w:tcPr>
            <w:tcW w:w="1620" w:type="dxa"/>
          </w:tcPr>
          <w:p w14:paraId="47C3F972" w14:textId="3E5A7ED9" w:rsidR="00A264EB" w:rsidRDefault="007A5CC4" w:rsidP="00A264EB">
            <w:r>
              <w:t>Organization Eligibility</w:t>
            </w:r>
          </w:p>
        </w:tc>
        <w:tc>
          <w:tcPr>
            <w:tcW w:w="4895" w:type="dxa"/>
          </w:tcPr>
          <w:p w14:paraId="339CF4E0" w14:textId="09B968C0" w:rsidR="00A264EB" w:rsidRDefault="00624618" w:rsidP="00A264EB">
            <w:r>
              <w:t>As a City employee</w:t>
            </w:r>
            <w:r w:rsidR="0037391F">
              <w:t xml:space="preserve"> (at a community center), which is also supported by ARC which is a 501c3, am I eligible to apply to support the teens we serve?</w:t>
            </w:r>
          </w:p>
        </w:tc>
        <w:tc>
          <w:tcPr>
            <w:tcW w:w="7165" w:type="dxa"/>
          </w:tcPr>
          <w:p w14:paraId="25451C91" w14:textId="3AA18309" w:rsidR="25E0E651" w:rsidRPr="00B51829" w:rsidRDefault="00314F35" w:rsidP="0042255D">
            <w:pPr>
              <w:pStyle w:val="Default"/>
              <w:jc w:val="both"/>
              <w:rPr>
                <w:rFonts w:asciiTheme="minorHAnsi" w:hAnsiTheme="minorHAnsi" w:cstheme="minorBidi"/>
                <w:color w:val="auto"/>
                <w:sz w:val="22"/>
                <w:szCs w:val="22"/>
              </w:rPr>
            </w:pPr>
            <w:r w:rsidRPr="00B51829">
              <w:rPr>
                <w:rFonts w:asciiTheme="minorHAnsi" w:hAnsiTheme="minorHAnsi" w:cstheme="minorBidi"/>
                <w:color w:val="auto"/>
                <w:sz w:val="22"/>
                <w:szCs w:val="22"/>
              </w:rPr>
              <w:t xml:space="preserve">No.  </w:t>
            </w:r>
            <w:r w:rsidR="50EA5D78" w:rsidRPr="00B51829">
              <w:rPr>
                <w:rFonts w:asciiTheme="minorHAnsi" w:hAnsiTheme="minorHAnsi" w:cstheme="minorBidi"/>
                <w:color w:val="auto"/>
                <w:sz w:val="22"/>
                <w:szCs w:val="22"/>
              </w:rPr>
              <w:t>S</w:t>
            </w:r>
            <w:r w:rsidR="4E82D395" w:rsidRPr="00B51829">
              <w:rPr>
                <w:rFonts w:asciiTheme="minorHAnsi" w:hAnsiTheme="minorHAnsi" w:cstheme="minorBidi"/>
                <w:color w:val="auto"/>
                <w:sz w:val="22"/>
                <w:szCs w:val="22"/>
              </w:rPr>
              <w:t xml:space="preserve">ee answer to question #2. </w:t>
            </w:r>
          </w:p>
          <w:p w14:paraId="4EE35D4B" w14:textId="777E6E22" w:rsidR="00A264EB" w:rsidRDefault="00A264EB"/>
        </w:tc>
      </w:tr>
      <w:tr w:rsidR="00A264EB" w14:paraId="6593D3A9" w14:textId="77777777" w:rsidTr="150AE968">
        <w:trPr>
          <w:trHeight w:val="270"/>
        </w:trPr>
        <w:tc>
          <w:tcPr>
            <w:tcW w:w="445" w:type="dxa"/>
          </w:tcPr>
          <w:p w14:paraId="3613F5E8" w14:textId="6F8A815D" w:rsidR="00A264EB" w:rsidRDefault="00073E8A" w:rsidP="00A264EB">
            <w:r>
              <w:t>14</w:t>
            </w:r>
          </w:p>
        </w:tc>
        <w:tc>
          <w:tcPr>
            <w:tcW w:w="1620" w:type="dxa"/>
          </w:tcPr>
          <w:p w14:paraId="36CD8D97" w14:textId="37704DEA" w:rsidR="00A264EB" w:rsidRDefault="00073E8A" w:rsidP="00A264EB">
            <w:r>
              <w:t>Organization Eligibility</w:t>
            </w:r>
          </w:p>
        </w:tc>
        <w:tc>
          <w:tcPr>
            <w:tcW w:w="4895" w:type="dxa"/>
          </w:tcPr>
          <w:p w14:paraId="328494CD" w14:textId="094EE8F9" w:rsidR="00A264EB" w:rsidRDefault="00073E8A" w:rsidP="00A264EB">
            <w:pPr>
              <w:tabs>
                <w:tab w:val="left" w:pos="720"/>
                <w:tab w:val="left" w:pos="990"/>
              </w:tabs>
            </w:pPr>
            <w:r>
              <w:t>Is the $750,000 budget requirement for the organization or the program?</w:t>
            </w:r>
          </w:p>
        </w:tc>
        <w:tc>
          <w:tcPr>
            <w:tcW w:w="7165" w:type="dxa"/>
          </w:tcPr>
          <w:p w14:paraId="234D3FC3" w14:textId="7F2B3DEE" w:rsidR="00A264EB" w:rsidRDefault="00073E8A" w:rsidP="00A264EB">
            <w:r>
              <w:t xml:space="preserve">The $750,000 budget requirement is for the organization. </w:t>
            </w:r>
          </w:p>
        </w:tc>
      </w:tr>
      <w:tr w:rsidR="00A264EB" w14:paraId="79048329" w14:textId="77777777" w:rsidTr="150AE968">
        <w:trPr>
          <w:trHeight w:val="270"/>
        </w:trPr>
        <w:tc>
          <w:tcPr>
            <w:tcW w:w="445" w:type="dxa"/>
          </w:tcPr>
          <w:p w14:paraId="732BE098" w14:textId="6C979216" w:rsidR="00A264EB" w:rsidRDefault="00073E8A" w:rsidP="00A264EB">
            <w:r>
              <w:t>15</w:t>
            </w:r>
          </w:p>
        </w:tc>
        <w:tc>
          <w:tcPr>
            <w:tcW w:w="1620" w:type="dxa"/>
          </w:tcPr>
          <w:p w14:paraId="75541E21" w14:textId="1DF40EE7" w:rsidR="00A264EB" w:rsidRDefault="00073E8A" w:rsidP="00A264EB">
            <w:r>
              <w:t>Online Submission System</w:t>
            </w:r>
          </w:p>
        </w:tc>
        <w:tc>
          <w:tcPr>
            <w:tcW w:w="4895" w:type="dxa"/>
          </w:tcPr>
          <w:p w14:paraId="42F4D154" w14:textId="0D4B33AF" w:rsidR="00A264EB" w:rsidRDefault="00073E8A" w:rsidP="00A264EB">
            <w:r>
              <w:t>Can you save your application on the online portal?</w:t>
            </w:r>
          </w:p>
        </w:tc>
        <w:tc>
          <w:tcPr>
            <w:tcW w:w="7165" w:type="dxa"/>
          </w:tcPr>
          <w:p w14:paraId="450F5A35" w14:textId="110E59A2" w:rsidR="00A264EB" w:rsidRDefault="00073E8A" w:rsidP="00A264EB">
            <w:r>
              <w:t>No, you cannot save the application.</w:t>
            </w:r>
          </w:p>
        </w:tc>
      </w:tr>
      <w:tr w:rsidR="00A264EB" w14:paraId="38934357" w14:textId="77777777" w:rsidTr="150AE968">
        <w:trPr>
          <w:trHeight w:val="692"/>
        </w:trPr>
        <w:tc>
          <w:tcPr>
            <w:tcW w:w="445" w:type="dxa"/>
            <w:shd w:val="clear" w:color="auto" w:fill="auto"/>
          </w:tcPr>
          <w:p w14:paraId="3D28A8EA" w14:textId="5044EC76" w:rsidR="00A264EB" w:rsidRPr="00EC3BCF" w:rsidRDefault="00E02E0E" w:rsidP="00A264EB">
            <w:bookmarkStart w:id="1" w:name="_Hlk514069589"/>
            <w:bookmarkStart w:id="2" w:name="_Hlk514070084"/>
            <w:r w:rsidRPr="00EC3BCF">
              <w:t>16</w:t>
            </w:r>
          </w:p>
        </w:tc>
        <w:tc>
          <w:tcPr>
            <w:tcW w:w="1620" w:type="dxa"/>
            <w:shd w:val="clear" w:color="auto" w:fill="auto"/>
          </w:tcPr>
          <w:p w14:paraId="5BE4FDEF" w14:textId="2D2C7264" w:rsidR="00A264EB" w:rsidRPr="00EC3BCF" w:rsidRDefault="00E02E0E" w:rsidP="00A264EB">
            <w:r w:rsidRPr="00EC3BCF">
              <w:t>Population</w:t>
            </w:r>
          </w:p>
        </w:tc>
        <w:tc>
          <w:tcPr>
            <w:tcW w:w="4895" w:type="dxa"/>
            <w:shd w:val="clear" w:color="auto" w:fill="auto"/>
          </w:tcPr>
          <w:p w14:paraId="317DA612" w14:textId="1FF7B48F" w:rsidR="00A264EB" w:rsidRPr="00EC3BCF" w:rsidRDefault="00734C5B" w:rsidP="00A264EB">
            <w:r w:rsidRPr="00EC3BCF">
              <w:t>How do we reach the target population? It's hard for me without assistance to find unemployed and out-of-school people in that age range. Could you help us and how do other groups do it?</w:t>
            </w:r>
          </w:p>
        </w:tc>
        <w:tc>
          <w:tcPr>
            <w:tcW w:w="7165" w:type="dxa"/>
            <w:shd w:val="clear" w:color="auto" w:fill="auto"/>
          </w:tcPr>
          <w:p w14:paraId="3C58DFEC" w14:textId="770863A6" w:rsidR="00A264EB" w:rsidRPr="00EC3BCF" w:rsidRDefault="5BC2A445" w:rsidP="5BC2A445">
            <w:r w:rsidRPr="00EC3BCF">
              <w:t>It is expected that your organization is already working with or has access to the population through partnerships. Though the focus population is youth who are not enrolled or attending school or not working, your project can serve other youth and young adults of color from the ages of 12 through 24</w:t>
            </w:r>
            <w:r w:rsidR="00EC3BCF">
              <w:t>, see Section I, Introduction</w:t>
            </w:r>
            <w:r w:rsidRPr="00EC3BCF">
              <w:t xml:space="preserve">.  HSD </w:t>
            </w:r>
            <w:r w:rsidR="00C10D09" w:rsidRPr="00EC3BCF">
              <w:t xml:space="preserve">will not </w:t>
            </w:r>
            <w:r w:rsidRPr="00EC3BCF">
              <w:t xml:space="preserve">help organizations identify youth and young adults to serve in their proposed project. </w:t>
            </w:r>
          </w:p>
        </w:tc>
      </w:tr>
      <w:bookmarkEnd w:id="1"/>
      <w:tr w:rsidR="00A264EB" w14:paraId="12EC6C91" w14:textId="77777777" w:rsidTr="150AE968">
        <w:trPr>
          <w:trHeight w:val="270"/>
        </w:trPr>
        <w:tc>
          <w:tcPr>
            <w:tcW w:w="445" w:type="dxa"/>
            <w:shd w:val="clear" w:color="auto" w:fill="auto"/>
          </w:tcPr>
          <w:p w14:paraId="048B3BF2" w14:textId="7B7D91C4" w:rsidR="00A264EB" w:rsidRPr="00EC3BCF" w:rsidRDefault="00E02E0E" w:rsidP="00A264EB">
            <w:r w:rsidRPr="00EC3BCF">
              <w:t>17</w:t>
            </w:r>
          </w:p>
        </w:tc>
        <w:tc>
          <w:tcPr>
            <w:tcW w:w="1620" w:type="dxa"/>
            <w:shd w:val="clear" w:color="auto" w:fill="auto"/>
          </w:tcPr>
          <w:p w14:paraId="6C87767F" w14:textId="6AB1FF04" w:rsidR="00A264EB" w:rsidRPr="00EC3BCF" w:rsidRDefault="00F83668" w:rsidP="00A264EB">
            <w:r w:rsidRPr="00EC3BCF">
              <w:t>Past Projects</w:t>
            </w:r>
          </w:p>
        </w:tc>
        <w:tc>
          <w:tcPr>
            <w:tcW w:w="4895" w:type="dxa"/>
            <w:shd w:val="clear" w:color="auto" w:fill="auto"/>
          </w:tcPr>
          <w:p w14:paraId="787AB3F4" w14:textId="3D48F69D" w:rsidR="00A264EB" w:rsidRPr="00EC3BCF" w:rsidRDefault="00E02E0E" w:rsidP="00A264EB">
            <w:bookmarkStart w:id="3" w:name="_Hlk514069597"/>
            <w:r w:rsidRPr="00EC3BCF">
              <w:t>Could you provide some examples of past projects and who they served?</w:t>
            </w:r>
            <w:bookmarkEnd w:id="3"/>
          </w:p>
        </w:tc>
        <w:tc>
          <w:tcPr>
            <w:tcW w:w="7165" w:type="dxa"/>
            <w:shd w:val="clear" w:color="auto" w:fill="auto"/>
          </w:tcPr>
          <w:p w14:paraId="16569706" w14:textId="78EBF2D0" w:rsidR="00A264EB" w:rsidRPr="00EC3BCF" w:rsidRDefault="00E538AB" w:rsidP="00A264EB">
            <w:pPr>
              <w:rPr>
                <w:b/>
              </w:rPr>
            </w:pPr>
            <w:r w:rsidRPr="00EC3BCF">
              <w:rPr>
                <w:rFonts w:eastAsia="Times New Roman"/>
              </w:rPr>
              <w:t xml:space="preserve">We </w:t>
            </w:r>
            <w:r w:rsidR="005B359E" w:rsidRPr="00EC3BCF">
              <w:rPr>
                <w:rFonts w:eastAsia="Times New Roman"/>
              </w:rPr>
              <w:t>encourage</w:t>
            </w:r>
            <w:r w:rsidRPr="00EC3BCF">
              <w:rPr>
                <w:rFonts w:eastAsia="Times New Roman"/>
              </w:rPr>
              <w:t xml:space="preserve"> </w:t>
            </w:r>
            <w:r w:rsidR="0003692D" w:rsidRPr="00EC3BCF">
              <w:rPr>
                <w:rFonts w:eastAsia="Times New Roman"/>
              </w:rPr>
              <w:t>app</w:t>
            </w:r>
            <w:r w:rsidR="005B359E" w:rsidRPr="00EC3BCF">
              <w:rPr>
                <w:rFonts w:eastAsia="Times New Roman"/>
              </w:rPr>
              <w:t>licants to</w:t>
            </w:r>
            <w:r w:rsidRPr="00EC3BCF">
              <w:rPr>
                <w:rFonts w:eastAsia="Times New Roman"/>
              </w:rPr>
              <w:t xml:space="preserve"> not rely on past projects and </w:t>
            </w:r>
            <w:r w:rsidR="006E1524" w:rsidRPr="00EC3BCF">
              <w:rPr>
                <w:rFonts w:eastAsia="Times New Roman"/>
              </w:rPr>
              <w:t>base</w:t>
            </w:r>
            <w:r w:rsidRPr="00EC3BCF">
              <w:rPr>
                <w:rFonts w:eastAsia="Times New Roman"/>
              </w:rPr>
              <w:t xml:space="preserve"> their</w:t>
            </w:r>
            <w:r w:rsidR="006E1524" w:rsidRPr="00EC3BCF">
              <w:rPr>
                <w:rFonts w:eastAsia="Times New Roman"/>
              </w:rPr>
              <w:t xml:space="preserve"> proposals on their specific</w:t>
            </w:r>
            <w:r w:rsidRPr="00EC3BCF">
              <w:rPr>
                <w:rFonts w:eastAsia="Times New Roman"/>
              </w:rPr>
              <w:t xml:space="preserve"> expertise, knowledge and understanding of the population served</w:t>
            </w:r>
            <w:r w:rsidR="006E1524" w:rsidRPr="00EC3BCF">
              <w:rPr>
                <w:rFonts w:eastAsia="Times New Roman"/>
              </w:rPr>
              <w:t xml:space="preserve"> as it pertains to this RFP</w:t>
            </w:r>
            <w:r w:rsidR="000F0196" w:rsidRPr="00EC3BCF">
              <w:rPr>
                <w:rFonts w:eastAsia="Times New Roman"/>
              </w:rPr>
              <w:t xml:space="preserve">. </w:t>
            </w:r>
            <w:r w:rsidR="005B359E" w:rsidRPr="00EC3BCF">
              <w:rPr>
                <w:rFonts w:eastAsia="Times New Roman"/>
              </w:rPr>
              <w:t xml:space="preserve">A brief summary of the 2017 RFP announcement can be found </w:t>
            </w:r>
            <w:hyperlink r:id="rId11" w:history="1">
              <w:r w:rsidR="005B359E" w:rsidRPr="00EC3BCF">
                <w:rPr>
                  <w:rStyle w:val="Hyperlink"/>
                  <w:rFonts w:eastAsia="Times New Roman"/>
                </w:rPr>
                <w:t>here</w:t>
              </w:r>
            </w:hyperlink>
            <w:r w:rsidR="005B359E" w:rsidRPr="00EC3BCF">
              <w:rPr>
                <w:rFonts w:eastAsia="Times New Roman"/>
              </w:rPr>
              <w:t xml:space="preserve"> but note the guidelines are different in 2018.</w:t>
            </w:r>
          </w:p>
        </w:tc>
      </w:tr>
      <w:tr w:rsidR="00A264EB" w14:paraId="3239DBF9" w14:textId="77777777" w:rsidTr="150AE968">
        <w:trPr>
          <w:trHeight w:val="270"/>
        </w:trPr>
        <w:tc>
          <w:tcPr>
            <w:tcW w:w="445" w:type="dxa"/>
            <w:shd w:val="clear" w:color="auto" w:fill="auto"/>
          </w:tcPr>
          <w:p w14:paraId="130DB0AC" w14:textId="1A5059C6" w:rsidR="00A264EB" w:rsidRPr="00EC3BCF" w:rsidRDefault="00E02E0E" w:rsidP="00A264EB">
            <w:r w:rsidRPr="00EC3BCF">
              <w:t>18</w:t>
            </w:r>
          </w:p>
        </w:tc>
        <w:tc>
          <w:tcPr>
            <w:tcW w:w="1620" w:type="dxa"/>
            <w:shd w:val="clear" w:color="auto" w:fill="auto"/>
          </w:tcPr>
          <w:p w14:paraId="0F3F8097" w14:textId="20F49F68" w:rsidR="00A264EB" w:rsidRPr="00EC3BCF" w:rsidRDefault="00F83668" w:rsidP="00A264EB">
            <w:r w:rsidRPr="00EC3BCF">
              <w:t>Budget</w:t>
            </w:r>
          </w:p>
        </w:tc>
        <w:tc>
          <w:tcPr>
            <w:tcW w:w="4895" w:type="dxa"/>
            <w:shd w:val="clear" w:color="auto" w:fill="auto"/>
          </w:tcPr>
          <w:p w14:paraId="13744801" w14:textId="0ECF061C" w:rsidR="00A264EB" w:rsidRPr="00EC3BCF" w:rsidRDefault="00E02E0E" w:rsidP="00A264EB">
            <w:bookmarkStart w:id="4" w:name="_Hlk514069628"/>
            <w:r w:rsidRPr="00EC3BCF">
              <w:t>Is the money disbursed up front or 50% up front or at the end or?</w:t>
            </w:r>
            <w:bookmarkEnd w:id="4"/>
          </w:p>
        </w:tc>
        <w:tc>
          <w:tcPr>
            <w:tcW w:w="7165" w:type="dxa"/>
            <w:shd w:val="clear" w:color="auto" w:fill="auto"/>
          </w:tcPr>
          <w:p w14:paraId="6EFB1AA3" w14:textId="4A26172B" w:rsidR="00A264EB" w:rsidRPr="00EC3BCF" w:rsidRDefault="006B268B" w:rsidP="00A264EB">
            <w:r w:rsidRPr="00EC3BCF">
              <w:t>The funding is not disbursed upfront</w:t>
            </w:r>
            <w:r w:rsidR="00F83668" w:rsidRPr="00EC3BCF">
              <w:t xml:space="preserve"> </w:t>
            </w:r>
            <w:r w:rsidRPr="00EC3BCF">
              <w:t xml:space="preserve">and is allocated through a </w:t>
            </w:r>
            <w:r w:rsidR="00646D8A" w:rsidRPr="00EC3BCF">
              <w:t xml:space="preserve">reimbursement-type contract agreement.  </w:t>
            </w:r>
            <w:r w:rsidR="00F83668" w:rsidRPr="00EC3BCF">
              <w:t xml:space="preserve">Depending on the terms of the </w:t>
            </w:r>
            <w:r w:rsidR="00F83668" w:rsidRPr="00EC3BCF">
              <w:lastRenderedPageBreak/>
              <w:t xml:space="preserve">contract, </w:t>
            </w:r>
            <w:r w:rsidR="00646D8A" w:rsidRPr="00EC3BCF">
              <w:t xml:space="preserve">an agency will invoice </w:t>
            </w:r>
            <w:r w:rsidR="00AD123F" w:rsidRPr="00EC3BCF">
              <w:t xml:space="preserve">HSD </w:t>
            </w:r>
            <w:r w:rsidR="00F83668" w:rsidRPr="00EC3BCF">
              <w:t xml:space="preserve">after services are provided, which can occur monthly, quarterly or at the end of the project. </w:t>
            </w:r>
          </w:p>
        </w:tc>
      </w:tr>
      <w:tr w:rsidR="00A264EB" w14:paraId="0889EF64" w14:textId="77777777" w:rsidTr="150AE968">
        <w:trPr>
          <w:trHeight w:val="270"/>
        </w:trPr>
        <w:tc>
          <w:tcPr>
            <w:tcW w:w="445" w:type="dxa"/>
            <w:shd w:val="clear" w:color="auto" w:fill="auto"/>
          </w:tcPr>
          <w:p w14:paraId="70B8A390" w14:textId="291D40A6" w:rsidR="00A264EB" w:rsidRPr="00EC3BCF" w:rsidRDefault="00E02E0E" w:rsidP="00A264EB">
            <w:r w:rsidRPr="00EC3BCF">
              <w:lastRenderedPageBreak/>
              <w:t>19</w:t>
            </w:r>
          </w:p>
        </w:tc>
        <w:tc>
          <w:tcPr>
            <w:tcW w:w="1620" w:type="dxa"/>
            <w:shd w:val="clear" w:color="auto" w:fill="auto"/>
          </w:tcPr>
          <w:p w14:paraId="7667CFC8" w14:textId="37148AC7" w:rsidR="00A264EB" w:rsidRPr="00EC3BCF" w:rsidRDefault="00F83668" w:rsidP="00A264EB">
            <w:r w:rsidRPr="00EC3BCF">
              <w:t>Budget</w:t>
            </w:r>
          </w:p>
        </w:tc>
        <w:tc>
          <w:tcPr>
            <w:tcW w:w="4895" w:type="dxa"/>
            <w:shd w:val="clear" w:color="auto" w:fill="auto"/>
          </w:tcPr>
          <w:p w14:paraId="67BD5F5B" w14:textId="05DA1AB1" w:rsidR="00A264EB" w:rsidRPr="00EC3BCF" w:rsidRDefault="00E02E0E" w:rsidP="00A264EB">
            <w:bookmarkStart w:id="5" w:name="_Hlk514069638"/>
            <w:r w:rsidRPr="00EC3BCF">
              <w:t>Is match funding required?</w:t>
            </w:r>
            <w:bookmarkEnd w:id="5"/>
          </w:p>
        </w:tc>
        <w:tc>
          <w:tcPr>
            <w:tcW w:w="7165" w:type="dxa"/>
            <w:shd w:val="clear" w:color="auto" w:fill="auto"/>
          </w:tcPr>
          <w:p w14:paraId="6700109B" w14:textId="55B70F48" w:rsidR="00A264EB" w:rsidRPr="00EC3BCF" w:rsidRDefault="000F0196" w:rsidP="00A264EB">
            <w:r w:rsidRPr="00EC3BCF">
              <w:t>No.</w:t>
            </w:r>
          </w:p>
        </w:tc>
      </w:tr>
      <w:bookmarkEnd w:id="2"/>
      <w:tr w:rsidR="00A264EB" w14:paraId="551F7AC7" w14:textId="77777777" w:rsidTr="150AE968">
        <w:trPr>
          <w:trHeight w:val="270"/>
        </w:trPr>
        <w:tc>
          <w:tcPr>
            <w:tcW w:w="445" w:type="dxa"/>
            <w:shd w:val="clear" w:color="auto" w:fill="auto"/>
          </w:tcPr>
          <w:p w14:paraId="2EB18414" w14:textId="17EBB045" w:rsidR="00A264EB" w:rsidRPr="00EC3BCF" w:rsidRDefault="000F0196" w:rsidP="00A264EB">
            <w:r w:rsidRPr="00EC3BCF">
              <w:t>20</w:t>
            </w:r>
          </w:p>
        </w:tc>
        <w:tc>
          <w:tcPr>
            <w:tcW w:w="1620" w:type="dxa"/>
            <w:shd w:val="clear" w:color="auto" w:fill="auto"/>
          </w:tcPr>
          <w:p w14:paraId="6B24C84F" w14:textId="7A630EA7" w:rsidR="00A264EB" w:rsidRPr="00EC3BCF" w:rsidRDefault="00F83668" w:rsidP="00A264EB">
            <w:r w:rsidRPr="00EC3BCF">
              <w:t>Population</w:t>
            </w:r>
          </w:p>
        </w:tc>
        <w:tc>
          <w:tcPr>
            <w:tcW w:w="4895" w:type="dxa"/>
            <w:shd w:val="clear" w:color="auto" w:fill="auto"/>
          </w:tcPr>
          <w:p w14:paraId="1DB10D39" w14:textId="737C09CD" w:rsidR="00A264EB" w:rsidRPr="00EC3BCF" w:rsidRDefault="00F83668" w:rsidP="00A264EB">
            <w:r w:rsidRPr="00EC3BCF">
              <w:t>Can the youth and young adults in the project be enrolled in school and/or working?</w:t>
            </w:r>
          </w:p>
        </w:tc>
        <w:tc>
          <w:tcPr>
            <w:tcW w:w="7165" w:type="dxa"/>
            <w:shd w:val="clear" w:color="auto" w:fill="auto"/>
          </w:tcPr>
          <w:p w14:paraId="2C5507F8" w14:textId="1BB559A3" w:rsidR="00A264EB" w:rsidRPr="00EC3BCF" w:rsidRDefault="00F83668" w:rsidP="00A264EB">
            <w:r w:rsidRPr="00EC3BCF">
              <w:t xml:space="preserve">Yes. See answer #16. </w:t>
            </w:r>
          </w:p>
        </w:tc>
      </w:tr>
      <w:tr w:rsidR="00A264EB" w14:paraId="0167440A" w14:textId="77777777" w:rsidTr="150AE968">
        <w:trPr>
          <w:trHeight w:val="270"/>
        </w:trPr>
        <w:tc>
          <w:tcPr>
            <w:tcW w:w="445" w:type="dxa"/>
            <w:shd w:val="clear" w:color="auto" w:fill="auto"/>
          </w:tcPr>
          <w:p w14:paraId="33B5FB49" w14:textId="6AC005DB" w:rsidR="00A264EB" w:rsidRPr="00EC3BCF" w:rsidRDefault="00F83668" w:rsidP="00A264EB">
            <w:r w:rsidRPr="00EC3BCF">
              <w:t>21</w:t>
            </w:r>
          </w:p>
        </w:tc>
        <w:tc>
          <w:tcPr>
            <w:tcW w:w="1620" w:type="dxa"/>
            <w:shd w:val="clear" w:color="auto" w:fill="auto"/>
          </w:tcPr>
          <w:p w14:paraId="6775F4F0" w14:textId="52EC0471" w:rsidR="00A264EB" w:rsidRPr="00EC3BCF" w:rsidRDefault="006E1524" w:rsidP="00A264EB">
            <w:r w:rsidRPr="00EC3BCF">
              <w:t>Eligibility</w:t>
            </w:r>
          </w:p>
        </w:tc>
        <w:tc>
          <w:tcPr>
            <w:tcW w:w="4895" w:type="dxa"/>
            <w:shd w:val="clear" w:color="auto" w:fill="auto"/>
          </w:tcPr>
          <w:p w14:paraId="17F7DA90" w14:textId="4F921AC6" w:rsidR="00A264EB" w:rsidRPr="00EC3BCF" w:rsidRDefault="006E1524" w:rsidP="00A264EB">
            <w:r w:rsidRPr="00EC3BCF">
              <w:t xml:space="preserve">Are we eligible to apply if the youth we recruit for this project are being paid by the Seattle Youth Employment Project (SYEP)? </w:t>
            </w:r>
          </w:p>
        </w:tc>
        <w:tc>
          <w:tcPr>
            <w:tcW w:w="7165" w:type="dxa"/>
            <w:shd w:val="clear" w:color="auto" w:fill="auto"/>
          </w:tcPr>
          <w:p w14:paraId="1A887E70" w14:textId="4A787FBD" w:rsidR="00A264EB" w:rsidRPr="00EC3BCF" w:rsidRDefault="006E1524" w:rsidP="00A264EB">
            <w:r w:rsidRPr="00EC3BCF">
              <w:t xml:space="preserve">Yes. The budget should reflect the other funding source in one of the “Other” columns on the budget forms and this should be explained in the narrative section of the application, Section IV, Question A1. </w:t>
            </w:r>
          </w:p>
        </w:tc>
      </w:tr>
      <w:tr w:rsidR="00A264EB" w14:paraId="09132302" w14:textId="77777777" w:rsidTr="150AE968">
        <w:trPr>
          <w:trHeight w:val="270"/>
        </w:trPr>
        <w:tc>
          <w:tcPr>
            <w:tcW w:w="445" w:type="dxa"/>
          </w:tcPr>
          <w:p w14:paraId="71A9F3B2" w14:textId="731E01F5" w:rsidR="00A264EB" w:rsidRPr="00C02A97" w:rsidRDefault="00286EF5" w:rsidP="00A264EB">
            <w:r w:rsidRPr="00C02A97">
              <w:t>22</w:t>
            </w:r>
          </w:p>
        </w:tc>
        <w:tc>
          <w:tcPr>
            <w:tcW w:w="1620" w:type="dxa"/>
          </w:tcPr>
          <w:p w14:paraId="1FF6D91F" w14:textId="54294BA2" w:rsidR="00A264EB" w:rsidRPr="00C02A97" w:rsidRDefault="00286EF5" w:rsidP="00A264EB">
            <w:r w:rsidRPr="00C02A97">
              <w:t>Application</w:t>
            </w:r>
          </w:p>
        </w:tc>
        <w:tc>
          <w:tcPr>
            <w:tcW w:w="4895" w:type="dxa"/>
          </w:tcPr>
          <w:p w14:paraId="42EFED4C" w14:textId="7B4EF2FB" w:rsidR="00A264EB" w:rsidRPr="00C02A97" w:rsidRDefault="00286EF5" w:rsidP="00A264EB">
            <w:r w:rsidRPr="00C02A97">
              <w:t>Can we submit two different applications?</w:t>
            </w:r>
          </w:p>
        </w:tc>
        <w:tc>
          <w:tcPr>
            <w:tcW w:w="7165" w:type="dxa"/>
          </w:tcPr>
          <w:p w14:paraId="74FF8160" w14:textId="66BC6400" w:rsidR="00A264EB" w:rsidRPr="00C02A97" w:rsidRDefault="53125CC2" w:rsidP="53125CC2">
            <w:r w:rsidRPr="00C02A97">
              <w:t xml:space="preserve">Yes, </w:t>
            </w:r>
            <w:r w:rsidR="009A1797">
              <w:t xml:space="preserve">however, </w:t>
            </w:r>
            <w:r w:rsidRPr="00C02A97">
              <w:t xml:space="preserve">applicants are only eligible to receive one award for up to the maximum $20,000. </w:t>
            </w:r>
          </w:p>
        </w:tc>
      </w:tr>
      <w:tr w:rsidR="00A264EB" w14:paraId="2A1B912D" w14:textId="77777777" w:rsidTr="150AE968">
        <w:trPr>
          <w:trHeight w:val="270"/>
        </w:trPr>
        <w:tc>
          <w:tcPr>
            <w:tcW w:w="445" w:type="dxa"/>
          </w:tcPr>
          <w:p w14:paraId="3E32C331" w14:textId="48693B82" w:rsidR="00A264EB" w:rsidRPr="00C02A97" w:rsidRDefault="00286EF5" w:rsidP="00A264EB">
            <w:r w:rsidRPr="00C02A97">
              <w:t>23</w:t>
            </w:r>
          </w:p>
        </w:tc>
        <w:tc>
          <w:tcPr>
            <w:tcW w:w="1620" w:type="dxa"/>
          </w:tcPr>
          <w:p w14:paraId="3C7702DF" w14:textId="6A770604" w:rsidR="00A264EB" w:rsidRPr="00C02A97" w:rsidRDefault="00286EF5" w:rsidP="00A264EB">
            <w:r w:rsidRPr="00C02A97">
              <w:t>Insurance</w:t>
            </w:r>
          </w:p>
        </w:tc>
        <w:tc>
          <w:tcPr>
            <w:tcW w:w="4895" w:type="dxa"/>
          </w:tcPr>
          <w:p w14:paraId="2BD9900F" w14:textId="520EC0A9" w:rsidR="00A264EB" w:rsidRPr="00C02A97" w:rsidRDefault="00286EF5" w:rsidP="00A264EB">
            <w:r w:rsidRPr="00C02A97">
              <w:t>Can HSD recommend an insurance provider?</w:t>
            </w:r>
          </w:p>
        </w:tc>
        <w:tc>
          <w:tcPr>
            <w:tcW w:w="7165" w:type="dxa"/>
          </w:tcPr>
          <w:p w14:paraId="54786730" w14:textId="66631635" w:rsidR="00A264EB" w:rsidRPr="00C02A97" w:rsidRDefault="53125CC2" w:rsidP="53125CC2">
            <w:r w:rsidRPr="00C02A97">
              <w:t xml:space="preserve">No, we cannot recommend an insurance </w:t>
            </w:r>
            <w:proofErr w:type="gramStart"/>
            <w:r w:rsidRPr="00C02A97">
              <w:t>provider</w:t>
            </w:r>
            <w:proofErr w:type="gramEnd"/>
            <w:r w:rsidRPr="00C02A97">
              <w:t xml:space="preserve"> but you can inquire with a non-profit partner or community based organization for recommendations.  </w:t>
            </w:r>
          </w:p>
        </w:tc>
      </w:tr>
      <w:tr w:rsidR="00A264EB" w14:paraId="27DE26AC" w14:textId="77777777" w:rsidTr="008E1F68">
        <w:trPr>
          <w:trHeight w:val="953"/>
        </w:trPr>
        <w:tc>
          <w:tcPr>
            <w:tcW w:w="445" w:type="dxa"/>
          </w:tcPr>
          <w:p w14:paraId="7E9D4509" w14:textId="1FE2FA94" w:rsidR="00A264EB" w:rsidRPr="008E1F68" w:rsidRDefault="00931FA1" w:rsidP="00A264EB">
            <w:r w:rsidRPr="008E1F68">
              <w:t>24</w:t>
            </w:r>
          </w:p>
        </w:tc>
        <w:tc>
          <w:tcPr>
            <w:tcW w:w="1620" w:type="dxa"/>
          </w:tcPr>
          <w:p w14:paraId="726E545E" w14:textId="43E58230" w:rsidR="00A264EB" w:rsidRPr="008E1F68" w:rsidRDefault="00931FA1" w:rsidP="00A264EB">
            <w:r w:rsidRPr="008E1F68">
              <w:t>Help Session</w:t>
            </w:r>
          </w:p>
        </w:tc>
        <w:tc>
          <w:tcPr>
            <w:tcW w:w="4895" w:type="dxa"/>
          </w:tcPr>
          <w:p w14:paraId="6D447534" w14:textId="260F237F" w:rsidR="00A264EB" w:rsidRPr="008E1F68" w:rsidRDefault="00931FA1" w:rsidP="00A264EB">
            <w:r w:rsidRPr="008E1F68">
              <w:t>Would it be possible for you to have a meeting with me where I can tell you an abbreviated summary of our project?</w:t>
            </w:r>
          </w:p>
        </w:tc>
        <w:tc>
          <w:tcPr>
            <w:tcW w:w="7165" w:type="dxa"/>
          </w:tcPr>
          <w:p w14:paraId="76514C04" w14:textId="69F461E5" w:rsidR="00A264EB" w:rsidRPr="008E1F68" w:rsidRDefault="150AE968" w:rsidP="150AE968">
            <w:r w:rsidRPr="008E1F68">
              <w:t xml:space="preserve">HSD staff is </w:t>
            </w:r>
            <w:r w:rsidR="005256DC" w:rsidRPr="008E1F68">
              <w:t>unable</w:t>
            </w:r>
            <w:r w:rsidRPr="008E1F68">
              <w:t xml:space="preserve"> to meet outside of the identified Help Session</w:t>
            </w:r>
            <w:r w:rsidR="00EF7E9C" w:rsidRPr="008E1F68">
              <w:t>s</w:t>
            </w:r>
            <w:r w:rsidRPr="008E1F68">
              <w:t xml:space="preserve"> offered on May 14 and May 17</w:t>
            </w:r>
            <w:r w:rsidR="005256DC" w:rsidRPr="008E1F68">
              <w:t xml:space="preserve"> to ensure a fair and equitable process for all applicants</w:t>
            </w:r>
            <w:r w:rsidRPr="008E1F68">
              <w:t xml:space="preserve">.    </w:t>
            </w:r>
          </w:p>
        </w:tc>
      </w:tr>
    </w:tbl>
    <w:p w14:paraId="0BC00B52" w14:textId="77777777" w:rsidR="00FD40CA" w:rsidRDefault="00FD40CA">
      <w:bookmarkStart w:id="6" w:name="_GoBack"/>
      <w:bookmarkEnd w:id="0"/>
      <w:bookmarkEnd w:id="6"/>
    </w:p>
    <w:sectPr w:rsidR="00FD40CA" w:rsidSect="004F4735">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72BBB" w14:textId="77777777" w:rsidR="00414993" w:rsidRDefault="00414993" w:rsidP="004F4735">
      <w:pPr>
        <w:spacing w:after="0" w:line="240" w:lineRule="auto"/>
      </w:pPr>
      <w:r>
        <w:separator/>
      </w:r>
    </w:p>
  </w:endnote>
  <w:endnote w:type="continuationSeparator" w:id="0">
    <w:p w14:paraId="26793F77" w14:textId="77777777" w:rsidR="00414993" w:rsidRDefault="00414993" w:rsidP="004F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B6E4" w14:textId="77777777" w:rsidR="00931FA1" w:rsidRDefault="0093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1419" w14:textId="1960430A" w:rsidR="00A264EB" w:rsidRDefault="00A264EB">
    <w:pPr>
      <w:pStyle w:val="Footer"/>
    </w:pPr>
    <w:r w:rsidRPr="00D6385B">
      <w:ptab w:relativeTo="margin" w:alignment="center" w:leader="none"/>
    </w:r>
    <w:r w:rsidR="00F63073" w:rsidRPr="00D6385B">
      <w:t xml:space="preserve">Updated </w:t>
    </w:r>
    <w:r w:rsidR="00D6385B">
      <w:t>May</w:t>
    </w:r>
    <w:r w:rsidRPr="00D6385B">
      <w:t xml:space="preserve"> </w:t>
    </w:r>
    <w:r w:rsidR="009A1797">
      <w:t>2</w:t>
    </w:r>
    <w:r w:rsidR="00931FA1">
      <w:t>2</w:t>
    </w:r>
    <w:r w:rsidRPr="00D6385B">
      <w:t>, 201</w:t>
    </w:r>
    <w:r w:rsidR="00D6385B">
      <w:t>8</w:t>
    </w:r>
    <w:r w:rsidR="00D87D8A">
      <w:tab/>
    </w:r>
    <w:r w:rsidR="00D87D8A">
      <w:tab/>
    </w:r>
    <w:r w:rsidR="00D87D8A">
      <w:tab/>
    </w:r>
    <w:r w:rsidR="00D87D8A">
      <w:tab/>
    </w:r>
    <w:r w:rsidR="00D87D8A">
      <w:tab/>
    </w:r>
    <w:r w:rsidR="00E460AE" w:rsidRPr="007B658E">
      <w:rPr>
        <w:rFonts w:ascii="Times New Roman" w:hAnsi="Times New Roman"/>
        <w:sz w:val="18"/>
        <w:szCs w:val="18"/>
      </w:rPr>
      <w:t>(</w:t>
    </w:r>
    <w:r w:rsidR="0052626C" w:rsidRPr="007B658E">
      <w:rPr>
        <w:rFonts w:ascii="Times New Roman" w:hAnsi="Times New Roman"/>
        <w:sz w:val="18"/>
        <w:szCs w:val="18"/>
      </w:rPr>
      <w:t>v4.0</w:t>
    </w:r>
    <w:r w:rsidR="00D87D8A" w:rsidRPr="007B658E">
      <w:rPr>
        <w:rFonts w:ascii="Times New Roman" w:hAnsi="Times New Roman"/>
        <w:sz w:val="18"/>
        <w:szCs w:val="18"/>
      </w:rPr>
      <w:t xml:space="preserve"> - 201</w:t>
    </w:r>
    <w:r w:rsidR="0052626C" w:rsidRPr="007B658E">
      <w:rPr>
        <w:rFonts w:ascii="Times New Roman" w:hAnsi="Times New Roman"/>
        <w:sz w:val="18"/>
        <w:szCs w:val="18"/>
      </w:rPr>
      <w:t>8</w:t>
    </w:r>
    <w:r w:rsidR="00D87D8A" w:rsidRPr="007B658E">
      <w:rPr>
        <w:rFonts w:ascii="Times New Roman" w:hAnsi="Times New Roman"/>
        <w:sz w:val="18"/>
        <w:szCs w:val="18"/>
      </w:rPr>
      <w:t>)</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606C" w14:textId="77777777" w:rsidR="00931FA1" w:rsidRDefault="0093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BE71" w14:textId="77777777" w:rsidR="00414993" w:rsidRDefault="00414993" w:rsidP="004F4735">
      <w:pPr>
        <w:spacing w:after="0" w:line="240" w:lineRule="auto"/>
      </w:pPr>
      <w:r>
        <w:separator/>
      </w:r>
    </w:p>
  </w:footnote>
  <w:footnote w:type="continuationSeparator" w:id="0">
    <w:p w14:paraId="60F54EE1" w14:textId="77777777" w:rsidR="00414993" w:rsidRDefault="00414993" w:rsidP="004F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0FB5" w14:textId="77777777" w:rsidR="00931FA1" w:rsidRDefault="00931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7BAA" w14:textId="77777777" w:rsidR="00A264EB" w:rsidRPr="00BA6E22" w:rsidRDefault="00A264EB" w:rsidP="00A264EB">
    <w:pPr>
      <w:spacing w:after="0" w:line="240" w:lineRule="auto"/>
      <w:jc w:val="center"/>
      <w:rPr>
        <w:rFonts w:ascii="Cambria" w:hAnsi="Cambria"/>
        <w:color w:val="000066"/>
        <w:sz w:val="56"/>
        <w:szCs w:val="56"/>
      </w:rPr>
    </w:pPr>
    <w:r w:rsidRPr="00BA6E22">
      <w:rPr>
        <w:rFonts w:ascii="Cambria" w:hAnsi="Cambria"/>
        <w:color w:val="000066"/>
        <w:sz w:val="56"/>
        <w:szCs w:val="56"/>
      </w:rPr>
      <w:t>Question and Answer</w:t>
    </w:r>
  </w:p>
  <w:p w14:paraId="5B9005D1" w14:textId="0C9D616A" w:rsidR="00A264EB" w:rsidRPr="00BA6E22" w:rsidRDefault="00F146CB" w:rsidP="00A264EB">
    <w:pPr>
      <w:pStyle w:val="Header"/>
      <w:jc w:val="center"/>
      <w:rPr>
        <w:rFonts w:ascii="Cambria" w:hAnsi="Cambria"/>
        <w:b/>
      </w:rPr>
    </w:pPr>
    <w:r w:rsidRPr="00F146CB">
      <w:rPr>
        <w:rFonts w:ascii="Cambria" w:hAnsi="Cambria"/>
        <w:b/>
      </w:rPr>
      <w:t>YFE Opportunity Fund</w:t>
    </w:r>
  </w:p>
  <w:p w14:paraId="3F3C13B1" w14:textId="3E8FDB16" w:rsidR="00A264EB" w:rsidRDefault="00A264EB" w:rsidP="00A264EB">
    <w:pPr>
      <w:pStyle w:val="Header"/>
      <w:jc w:val="center"/>
      <w:rPr>
        <w:rFonts w:ascii="Cambria" w:hAnsi="Cambria"/>
        <w:b/>
      </w:rPr>
    </w:pPr>
  </w:p>
  <w:p w14:paraId="7ECC554C" w14:textId="77777777" w:rsidR="00A264EB" w:rsidRPr="00BA6E22" w:rsidRDefault="00A264EB" w:rsidP="00A264EB">
    <w:pPr>
      <w:pStyle w:val="Header"/>
      <w:jc w:val="center"/>
      <w:rPr>
        <w:rFonts w:ascii="Cambria" w:hAnsi="Cambria"/>
        <w:b/>
      </w:rPr>
    </w:pPr>
  </w:p>
  <w:p w14:paraId="7FF1494E" w14:textId="7602AAAF" w:rsidR="00A264EB" w:rsidRDefault="00F146CB" w:rsidP="00A264EB">
    <w:pPr>
      <w:pStyle w:val="Header"/>
      <w:jc w:val="center"/>
      <w:rPr>
        <w:rFonts w:ascii="Cambria" w:hAnsi="Cambria"/>
        <w:i/>
      </w:rPr>
    </w:pPr>
    <w:r w:rsidRPr="00F146CB">
      <w:rPr>
        <w:rFonts w:ascii="Cambria" w:hAnsi="Cambria"/>
        <w:i/>
      </w:rPr>
      <w:t>2018 Request for Proposal</w:t>
    </w:r>
  </w:p>
  <w:p w14:paraId="08E539C9" w14:textId="77777777" w:rsidR="004F4735" w:rsidRPr="004E5255" w:rsidRDefault="004F4735" w:rsidP="004E525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895A" w14:textId="77777777" w:rsidR="00931FA1" w:rsidRDefault="0093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EB"/>
    <w:multiLevelType w:val="hybridMultilevel"/>
    <w:tmpl w:val="DC2E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35"/>
    <w:rsid w:val="00021EC1"/>
    <w:rsid w:val="00024AF9"/>
    <w:rsid w:val="0002652B"/>
    <w:rsid w:val="0003692D"/>
    <w:rsid w:val="00043746"/>
    <w:rsid w:val="0005381A"/>
    <w:rsid w:val="0006116A"/>
    <w:rsid w:val="00073E8A"/>
    <w:rsid w:val="0007783A"/>
    <w:rsid w:val="00093075"/>
    <w:rsid w:val="000945B3"/>
    <w:rsid w:val="000B584A"/>
    <w:rsid w:val="000C0D7B"/>
    <w:rsid w:val="000E4D63"/>
    <w:rsid w:val="000F0196"/>
    <w:rsid w:val="000F0551"/>
    <w:rsid w:val="00146FBB"/>
    <w:rsid w:val="00173E9A"/>
    <w:rsid w:val="001748C1"/>
    <w:rsid w:val="00175349"/>
    <w:rsid w:val="001A4827"/>
    <w:rsid w:val="001A6DB8"/>
    <w:rsid w:val="001C3327"/>
    <w:rsid w:val="001E6FA8"/>
    <w:rsid w:val="00207E75"/>
    <w:rsid w:val="00220BCC"/>
    <w:rsid w:val="00250807"/>
    <w:rsid w:val="002722FE"/>
    <w:rsid w:val="002770AA"/>
    <w:rsid w:val="00284587"/>
    <w:rsid w:val="00286EF5"/>
    <w:rsid w:val="002973E4"/>
    <w:rsid w:val="002B1798"/>
    <w:rsid w:val="002E77F7"/>
    <w:rsid w:val="002F3320"/>
    <w:rsid w:val="002F6C07"/>
    <w:rsid w:val="00301255"/>
    <w:rsid w:val="00301EDC"/>
    <w:rsid w:val="0030733F"/>
    <w:rsid w:val="003141D9"/>
    <w:rsid w:val="00314F35"/>
    <w:rsid w:val="0031649B"/>
    <w:rsid w:val="00363E46"/>
    <w:rsid w:val="00372C48"/>
    <w:rsid w:val="0037391F"/>
    <w:rsid w:val="00383984"/>
    <w:rsid w:val="00395EF6"/>
    <w:rsid w:val="003A6318"/>
    <w:rsid w:val="003C24FD"/>
    <w:rsid w:val="003C7D84"/>
    <w:rsid w:val="003D310E"/>
    <w:rsid w:val="00414993"/>
    <w:rsid w:val="004213B3"/>
    <w:rsid w:val="0042255D"/>
    <w:rsid w:val="004234C0"/>
    <w:rsid w:val="00434BAE"/>
    <w:rsid w:val="0044788F"/>
    <w:rsid w:val="00451612"/>
    <w:rsid w:val="00452D2C"/>
    <w:rsid w:val="00471776"/>
    <w:rsid w:val="004D077F"/>
    <w:rsid w:val="004E15F0"/>
    <w:rsid w:val="004E4FB7"/>
    <w:rsid w:val="004E5255"/>
    <w:rsid w:val="004E633E"/>
    <w:rsid w:val="004F4735"/>
    <w:rsid w:val="00504E5E"/>
    <w:rsid w:val="00520506"/>
    <w:rsid w:val="00522109"/>
    <w:rsid w:val="005256DC"/>
    <w:rsid w:val="0052626C"/>
    <w:rsid w:val="00526485"/>
    <w:rsid w:val="00535126"/>
    <w:rsid w:val="0055575C"/>
    <w:rsid w:val="00555BC5"/>
    <w:rsid w:val="00565CCC"/>
    <w:rsid w:val="00572748"/>
    <w:rsid w:val="005A1D3B"/>
    <w:rsid w:val="005B359E"/>
    <w:rsid w:val="005E359D"/>
    <w:rsid w:val="005E4582"/>
    <w:rsid w:val="005E58E1"/>
    <w:rsid w:val="00624618"/>
    <w:rsid w:val="0063502A"/>
    <w:rsid w:val="00635799"/>
    <w:rsid w:val="00646D8A"/>
    <w:rsid w:val="00684C73"/>
    <w:rsid w:val="006B268B"/>
    <w:rsid w:val="006D0C81"/>
    <w:rsid w:val="006D175F"/>
    <w:rsid w:val="006E1524"/>
    <w:rsid w:val="006F72FF"/>
    <w:rsid w:val="00705533"/>
    <w:rsid w:val="00710B32"/>
    <w:rsid w:val="007115C9"/>
    <w:rsid w:val="00734C5B"/>
    <w:rsid w:val="00744F5F"/>
    <w:rsid w:val="007576B6"/>
    <w:rsid w:val="00770E6F"/>
    <w:rsid w:val="007749EE"/>
    <w:rsid w:val="00780361"/>
    <w:rsid w:val="00780D2D"/>
    <w:rsid w:val="007A5CC4"/>
    <w:rsid w:val="007B658E"/>
    <w:rsid w:val="007D2AA1"/>
    <w:rsid w:val="007D49F2"/>
    <w:rsid w:val="007F203A"/>
    <w:rsid w:val="007F3A23"/>
    <w:rsid w:val="007F7A48"/>
    <w:rsid w:val="008276FD"/>
    <w:rsid w:val="00881605"/>
    <w:rsid w:val="008A28DE"/>
    <w:rsid w:val="008B6D37"/>
    <w:rsid w:val="008C27A5"/>
    <w:rsid w:val="008C3837"/>
    <w:rsid w:val="008D7B45"/>
    <w:rsid w:val="008E1F68"/>
    <w:rsid w:val="008F24CE"/>
    <w:rsid w:val="008F2A11"/>
    <w:rsid w:val="009167B6"/>
    <w:rsid w:val="00917CCB"/>
    <w:rsid w:val="00927066"/>
    <w:rsid w:val="00931FA1"/>
    <w:rsid w:val="00946F94"/>
    <w:rsid w:val="00987A05"/>
    <w:rsid w:val="009A0DE6"/>
    <w:rsid w:val="009A1797"/>
    <w:rsid w:val="009B6321"/>
    <w:rsid w:val="009D3843"/>
    <w:rsid w:val="00A264EB"/>
    <w:rsid w:val="00A3475D"/>
    <w:rsid w:val="00A3733D"/>
    <w:rsid w:val="00A50484"/>
    <w:rsid w:val="00A72A7B"/>
    <w:rsid w:val="00A85CF6"/>
    <w:rsid w:val="00A91D78"/>
    <w:rsid w:val="00AC0E17"/>
    <w:rsid w:val="00AD123F"/>
    <w:rsid w:val="00AE4D92"/>
    <w:rsid w:val="00AF1363"/>
    <w:rsid w:val="00AF7F9F"/>
    <w:rsid w:val="00B05D63"/>
    <w:rsid w:val="00B05DA4"/>
    <w:rsid w:val="00B10037"/>
    <w:rsid w:val="00B30038"/>
    <w:rsid w:val="00B32F40"/>
    <w:rsid w:val="00B43013"/>
    <w:rsid w:val="00B47314"/>
    <w:rsid w:val="00B51829"/>
    <w:rsid w:val="00B71820"/>
    <w:rsid w:val="00B7208F"/>
    <w:rsid w:val="00B83ADA"/>
    <w:rsid w:val="00BA0562"/>
    <w:rsid w:val="00BA59A6"/>
    <w:rsid w:val="00BB1D4D"/>
    <w:rsid w:val="00BB62BF"/>
    <w:rsid w:val="00BE723D"/>
    <w:rsid w:val="00C02A97"/>
    <w:rsid w:val="00C03C07"/>
    <w:rsid w:val="00C10D09"/>
    <w:rsid w:val="00C41635"/>
    <w:rsid w:val="00C57043"/>
    <w:rsid w:val="00C90124"/>
    <w:rsid w:val="00C90712"/>
    <w:rsid w:val="00CA0F31"/>
    <w:rsid w:val="00CB62E4"/>
    <w:rsid w:val="00CE36C6"/>
    <w:rsid w:val="00CF1555"/>
    <w:rsid w:val="00D40616"/>
    <w:rsid w:val="00D60DE1"/>
    <w:rsid w:val="00D612D2"/>
    <w:rsid w:val="00D6385B"/>
    <w:rsid w:val="00D66A14"/>
    <w:rsid w:val="00D731B4"/>
    <w:rsid w:val="00D82F44"/>
    <w:rsid w:val="00D87D8A"/>
    <w:rsid w:val="00D92C8F"/>
    <w:rsid w:val="00D952E4"/>
    <w:rsid w:val="00DE07A8"/>
    <w:rsid w:val="00DE58C3"/>
    <w:rsid w:val="00E02E0E"/>
    <w:rsid w:val="00E0525F"/>
    <w:rsid w:val="00E12F69"/>
    <w:rsid w:val="00E35DDC"/>
    <w:rsid w:val="00E460AE"/>
    <w:rsid w:val="00E538AB"/>
    <w:rsid w:val="00E968BC"/>
    <w:rsid w:val="00E96C85"/>
    <w:rsid w:val="00EB3E0C"/>
    <w:rsid w:val="00EC3BCF"/>
    <w:rsid w:val="00EC4468"/>
    <w:rsid w:val="00EC6C42"/>
    <w:rsid w:val="00ED17E4"/>
    <w:rsid w:val="00ED5CA3"/>
    <w:rsid w:val="00ED74CE"/>
    <w:rsid w:val="00EF7E9C"/>
    <w:rsid w:val="00F146CB"/>
    <w:rsid w:val="00F23B74"/>
    <w:rsid w:val="00F24CC6"/>
    <w:rsid w:val="00F606A5"/>
    <w:rsid w:val="00F63073"/>
    <w:rsid w:val="00F642EF"/>
    <w:rsid w:val="00F70136"/>
    <w:rsid w:val="00F766A7"/>
    <w:rsid w:val="00F83668"/>
    <w:rsid w:val="00FD40CA"/>
    <w:rsid w:val="00FE2EA2"/>
    <w:rsid w:val="150AE968"/>
    <w:rsid w:val="25E0E651"/>
    <w:rsid w:val="39DEDE22"/>
    <w:rsid w:val="41AF6541"/>
    <w:rsid w:val="4E82D395"/>
    <w:rsid w:val="50EA5D78"/>
    <w:rsid w:val="53125CC2"/>
    <w:rsid w:val="5BC2A445"/>
    <w:rsid w:val="6AC49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C1A958"/>
  <w15:docId w15:val="{6FD17E50-C353-4F85-B15A-E6F09A0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semiHidden/>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semiHidden/>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 w:type="paragraph" w:customStyle="1" w:styleId="Default">
    <w:name w:val="Default"/>
    <w:rsid w:val="0017534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D175F"/>
    <w:rPr>
      <w:color w:val="808080"/>
      <w:shd w:val="clear" w:color="auto" w:fill="E6E6E6"/>
    </w:rPr>
  </w:style>
  <w:style w:type="character" w:styleId="FollowedHyperlink">
    <w:name w:val="FollowedHyperlink"/>
    <w:basedOn w:val="DefaultParagraphFont"/>
    <w:uiPriority w:val="99"/>
    <w:semiHidden/>
    <w:unhideWhenUsed/>
    <w:rsid w:val="006D1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054">
      <w:bodyDiv w:val="1"/>
      <w:marLeft w:val="0"/>
      <w:marRight w:val="0"/>
      <w:marTop w:val="0"/>
      <w:marBottom w:val="0"/>
      <w:divBdr>
        <w:top w:val="none" w:sz="0" w:space="0" w:color="auto"/>
        <w:left w:val="none" w:sz="0" w:space="0" w:color="auto"/>
        <w:bottom w:val="none" w:sz="0" w:space="0" w:color="auto"/>
        <w:right w:val="none" w:sz="0" w:space="0" w:color="auto"/>
      </w:divBdr>
    </w:div>
    <w:div w:id="478960955">
      <w:bodyDiv w:val="1"/>
      <w:marLeft w:val="0"/>
      <w:marRight w:val="0"/>
      <w:marTop w:val="0"/>
      <w:marBottom w:val="0"/>
      <w:divBdr>
        <w:top w:val="none" w:sz="0" w:space="0" w:color="auto"/>
        <w:left w:val="none" w:sz="0" w:space="0" w:color="auto"/>
        <w:bottom w:val="none" w:sz="0" w:space="0" w:color="auto"/>
        <w:right w:val="none" w:sz="0" w:space="0" w:color="auto"/>
      </w:divBdr>
    </w:div>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702050033">
      <w:bodyDiv w:val="1"/>
      <w:marLeft w:val="0"/>
      <w:marRight w:val="0"/>
      <w:marTop w:val="0"/>
      <w:marBottom w:val="0"/>
      <w:divBdr>
        <w:top w:val="none" w:sz="0" w:space="0" w:color="auto"/>
        <w:left w:val="none" w:sz="0" w:space="0" w:color="auto"/>
        <w:bottom w:val="none" w:sz="0" w:space="0" w:color="auto"/>
        <w:right w:val="none" w:sz="0" w:space="0" w:color="auto"/>
      </w:divBdr>
    </w:div>
    <w:div w:id="1161585804">
      <w:bodyDiv w:val="1"/>
      <w:marLeft w:val="0"/>
      <w:marRight w:val="0"/>
      <w:marTop w:val="0"/>
      <w:marBottom w:val="0"/>
      <w:divBdr>
        <w:top w:val="none" w:sz="0" w:space="0" w:color="auto"/>
        <w:left w:val="none" w:sz="0" w:space="0" w:color="auto"/>
        <w:bottom w:val="none" w:sz="0" w:space="0" w:color="auto"/>
        <w:right w:val="none" w:sz="0" w:space="0" w:color="auto"/>
      </w:divBdr>
    </w:div>
    <w:div w:id="12411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ontporch.seattle.gov/2017/05/25/youth-opportunity-fu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DE95F975DCFC4EACF17314C740F0DC" ma:contentTypeVersion="2" ma:contentTypeDescription="Create a new document." ma:contentTypeScope="" ma:versionID="7ccfd0958efcb767ef1e2d64928f99e0">
  <xsd:schema xmlns:xsd="http://www.w3.org/2001/XMLSchema" xmlns:xs="http://www.w3.org/2001/XMLSchema" xmlns:p="http://schemas.microsoft.com/office/2006/metadata/properties" xmlns:ns2="eb89769a-1521-4bb6-8832-c45b432a7712" targetNamespace="http://schemas.microsoft.com/office/2006/metadata/properties" ma:root="true" ma:fieldsID="2f3c84e548363bad6b867671f4f2efc4" ns2:_="">
    <xsd:import namespace="eb89769a-1521-4bb6-8832-c45b432a77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769a-1521-4bb6-8832-c45b432a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25C0-96DC-4A4B-B845-10294B64E356}">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b89769a-1521-4bb6-8832-c45b432a7712"/>
    <ds:schemaRef ds:uri="http://www.w3.org/XML/1998/namespace"/>
    <ds:schemaRef ds:uri="http://purl.org/dc/dcmitype/"/>
  </ds:schemaRefs>
</ds:datastoreItem>
</file>

<file path=customXml/itemProps2.xml><?xml version="1.0" encoding="utf-8"?>
<ds:datastoreItem xmlns:ds="http://schemas.openxmlformats.org/officeDocument/2006/customXml" ds:itemID="{39D721E4-F3E3-4AA3-81CD-B28A20812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769a-1521-4bb6-8832-c45b432a7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4.xml><?xml version="1.0" encoding="utf-8"?>
<ds:datastoreItem xmlns:ds="http://schemas.openxmlformats.org/officeDocument/2006/customXml" ds:itemID="{DDE57DB0-C719-43E1-8BCE-42556E87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5165</Characters>
  <Application>Microsoft Office Word</Application>
  <DocSecurity>0</DocSecurity>
  <Lines>43</Lines>
  <Paragraphs>12</Paragraphs>
  <ScaleCrop>false</ScaleCrop>
  <Company>City of Seattle</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MANGIE</dc:creator>
  <cp:lastModifiedBy>Kuznitz, Deborah</cp:lastModifiedBy>
  <cp:revision>2</cp:revision>
  <cp:lastPrinted>2015-02-11T01:14:00Z</cp:lastPrinted>
  <dcterms:created xsi:type="dcterms:W3CDTF">2018-05-22T22:18:00Z</dcterms:created>
  <dcterms:modified xsi:type="dcterms:W3CDTF">2018-05-22T22:18:00Z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0x0101003BDE95F975DCFC4EACF17314C740F0DC</vt:lpwstr>
  </property>
</Properties>
</file>